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336D" w14:textId="180ECA17" w:rsidR="001A1B0A" w:rsidRPr="001A1B0A" w:rsidRDefault="00E6085E" w:rsidP="00E6085E">
      <w:pPr>
        <w:pStyle w:val="Heading2"/>
        <w:rPr>
          <w:b/>
          <w:bCs/>
          <w:sz w:val="24"/>
          <w:szCs w:val="24"/>
          <w:u w:val="single"/>
        </w:rPr>
      </w:pPr>
      <w:r>
        <w:t xml:space="preserve">Fact sheet </w:t>
      </w:r>
      <w:r w:rsidR="00460BD0">
        <w:t>–</w:t>
      </w:r>
      <w:r>
        <w:t xml:space="preserve"> </w:t>
      </w:r>
      <w:r w:rsidR="00F77DAB">
        <w:t xml:space="preserve">Introduction of </w:t>
      </w:r>
      <w:r w:rsidR="00460BD0">
        <w:t xml:space="preserve">Commerce </w:t>
      </w:r>
      <w:r w:rsidR="00F77DAB">
        <w:t>(Promoting Competition and Other Matters) Amendment Bill</w:t>
      </w:r>
    </w:p>
    <w:p w14:paraId="0FFF4495" w14:textId="2D3A671B" w:rsidR="001A1B0A" w:rsidRPr="00E6085E" w:rsidRDefault="121D2730" w:rsidP="00E6085E">
      <w:pPr>
        <w:spacing w:before="240" w:after="120"/>
        <w:jc w:val="both"/>
        <w:rPr>
          <w:b/>
          <w:bCs/>
          <w:sz w:val="28"/>
          <w:szCs w:val="28"/>
        </w:rPr>
      </w:pPr>
      <w:r w:rsidRPr="00E6085E">
        <w:rPr>
          <w:b/>
          <w:bCs/>
          <w:sz w:val="28"/>
          <w:szCs w:val="28"/>
        </w:rPr>
        <w:t>Commerce Act reforms</w:t>
      </w:r>
    </w:p>
    <w:p w14:paraId="47038676" w14:textId="3963D5E7" w:rsidR="001A1B0A" w:rsidRPr="001A1B0A" w:rsidRDefault="001A1B0A" w:rsidP="003241F1">
      <w:pPr>
        <w:spacing w:after="120"/>
        <w:jc w:val="both"/>
      </w:pPr>
      <w:r>
        <w:t xml:space="preserve">The Government </w:t>
      </w:r>
      <w:r w:rsidR="00B92E10">
        <w:t xml:space="preserve">is progressing </w:t>
      </w:r>
      <w:r>
        <w:t>a package of reforms to the Commerce Act 1986 to modernise and improve our economy-wide competition settings. The key changes are:</w:t>
      </w:r>
    </w:p>
    <w:p w14:paraId="530B5324" w14:textId="476C8CD4" w:rsidR="001A1B0A" w:rsidRPr="00E6085E" w:rsidRDefault="121D2730" w:rsidP="121D2730">
      <w:pPr>
        <w:spacing w:after="120"/>
        <w:jc w:val="both"/>
        <w:rPr>
          <w:b/>
          <w:bCs/>
        </w:rPr>
      </w:pPr>
      <w:r w:rsidRPr="00E6085E">
        <w:rPr>
          <w:b/>
          <w:bCs/>
        </w:rPr>
        <w:t>Supporting beneficial collaboration</w:t>
      </w:r>
    </w:p>
    <w:p w14:paraId="1DF6CAA7" w14:textId="29B385C5" w:rsidR="00F45F32" w:rsidRDefault="121D2730" w:rsidP="00E6085E">
      <w:pPr>
        <w:spacing w:after="120"/>
        <w:jc w:val="both"/>
      </w:pPr>
      <w:r>
        <w:t>The Act is being updated to better support beneficial collaboration, addressing concerns that the current system is too complex, costly and slow for business. This includes:</w:t>
      </w:r>
    </w:p>
    <w:p w14:paraId="6D5CF9E4" w14:textId="77777777" w:rsidR="00AB1438" w:rsidRDefault="121D2730" w:rsidP="00E2558A">
      <w:pPr>
        <w:pStyle w:val="ListParagraph"/>
        <w:numPr>
          <w:ilvl w:val="0"/>
          <w:numId w:val="1"/>
        </w:numPr>
        <w:spacing w:after="120"/>
        <w:ind w:left="714" w:hanging="357"/>
        <w:contextualSpacing w:val="0"/>
        <w:jc w:val="both"/>
      </w:pPr>
      <w:r w:rsidRPr="00E2558A">
        <w:rPr>
          <w:i/>
          <w:iCs/>
        </w:rPr>
        <w:t>Statutory notification regime</w:t>
      </w:r>
      <w:r w:rsidRPr="00E2558A">
        <w:t>:</w:t>
      </w:r>
      <w:r w:rsidRPr="121D2730">
        <w:rPr>
          <w:b/>
          <w:bCs/>
        </w:rPr>
        <w:t xml:space="preserve"> </w:t>
      </w:r>
      <w:r>
        <w:t xml:space="preserve">Initially limited to resale price maintenance and small business collective bargaining, this regime will allow firms to notify the </w:t>
      </w:r>
      <w:r w:rsidR="00B92E10">
        <w:t xml:space="preserve">Commerce </w:t>
      </w:r>
      <w:r>
        <w:t>Commission of proposed conduct and proceed unless the Commission objects – offering a faster, cheaper alternative to formal clearance or authorisation.</w:t>
      </w:r>
    </w:p>
    <w:p w14:paraId="410042D8" w14:textId="77777777" w:rsidR="00AB1438" w:rsidRDefault="121D2730" w:rsidP="00E2558A">
      <w:pPr>
        <w:pStyle w:val="ListParagraph"/>
        <w:numPr>
          <w:ilvl w:val="0"/>
          <w:numId w:val="1"/>
        </w:numPr>
        <w:spacing w:after="120"/>
        <w:ind w:left="714" w:hanging="357"/>
        <w:contextualSpacing w:val="0"/>
        <w:jc w:val="both"/>
      </w:pPr>
      <w:r w:rsidRPr="00E2558A">
        <w:rPr>
          <w:i/>
          <w:iCs/>
        </w:rPr>
        <w:t>Class exemption powers</w:t>
      </w:r>
      <w:r>
        <w:t>: The Commission will be able to exempt categories of conduct that are low-risk or clearly beneficial.</w:t>
      </w:r>
    </w:p>
    <w:p w14:paraId="25CA14A5" w14:textId="77777777" w:rsidR="00AB1438" w:rsidRDefault="121D2730" w:rsidP="00E2558A">
      <w:pPr>
        <w:pStyle w:val="ListParagraph"/>
        <w:numPr>
          <w:ilvl w:val="0"/>
          <w:numId w:val="1"/>
        </w:numPr>
        <w:spacing w:after="120"/>
        <w:ind w:left="714" w:hanging="357"/>
        <w:contextualSpacing w:val="0"/>
        <w:jc w:val="both"/>
      </w:pPr>
      <w:r w:rsidRPr="00E2558A">
        <w:rPr>
          <w:i/>
          <w:iCs/>
        </w:rPr>
        <w:t>Fee relief mechanisms</w:t>
      </w:r>
      <w:r w:rsidRPr="00E2558A">
        <w:t xml:space="preserve">: </w:t>
      </w:r>
      <w:r>
        <w:t>The Commission will have discretion to waive or reduce application fees where appropriate.</w:t>
      </w:r>
    </w:p>
    <w:p w14:paraId="50EEE969" w14:textId="77777777" w:rsidR="00AB1438" w:rsidRDefault="121D2730" w:rsidP="00E2558A">
      <w:pPr>
        <w:pStyle w:val="ListParagraph"/>
        <w:numPr>
          <w:ilvl w:val="0"/>
          <w:numId w:val="1"/>
        </w:numPr>
        <w:spacing w:after="120"/>
        <w:ind w:left="714" w:hanging="357"/>
        <w:contextualSpacing w:val="0"/>
        <w:jc w:val="both"/>
      </w:pPr>
      <w:r w:rsidRPr="00E2558A">
        <w:rPr>
          <w:i/>
          <w:iCs/>
        </w:rPr>
        <w:t>Streamlined</w:t>
      </w:r>
      <w:r w:rsidRPr="00E2558A">
        <w:t xml:space="preserve"> </w:t>
      </w:r>
      <w:r w:rsidRPr="00E2558A">
        <w:rPr>
          <w:i/>
          <w:iCs/>
        </w:rPr>
        <w:t>clearance process</w:t>
      </w:r>
      <w:r w:rsidRPr="00E2558A">
        <w:t xml:space="preserve">: </w:t>
      </w:r>
      <w:r>
        <w:t xml:space="preserve">Applicants can request </w:t>
      </w:r>
      <w:r w:rsidR="00E6085E">
        <w:t>that the</w:t>
      </w:r>
      <w:r>
        <w:t xml:space="preserve"> Commission assess the purpose and necessity of cartel provisions without </w:t>
      </w:r>
      <w:r w:rsidR="00E6085E">
        <w:t>conducting</w:t>
      </w:r>
      <w:r>
        <w:t xml:space="preserve"> a full competition impact assessment, simplifying and shortening the process significantly.</w:t>
      </w:r>
    </w:p>
    <w:p w14:paraId="771049EE" w14:textId="77777777" w:rsidR="00AB1438" w:rsidRDefault="121D2730" w:rsidP="00E2558A">
      <w:pPr>
        <w:pStyle w:val="ListParagraph"/>
        <w:numPr>
          <w:ilvl w:val="0"/>
          <w:numId w:val="1"/>
        </w:numPr>
        <w:spacing w:after="120"/>
        <w:ind w:left="714" w:hanging="357"/>
        <w:contextualSpacing w:val="0"/>
        <w:jc w:val="both"/>
      </w:pPr>
      <w:r w:rsidRPr="00E2558A">
        <w:rPr>
          <w:i/>
          <w:iCs/>
        </w:rPr>
        <w:t>Flexibility for evolving collaboration:</w:t>
      </w:r>
      <w:r w:rsidRPr="121D2730">
        <w:rPr>
          <w:b/>
          <w:bCs/>
        </w:rPr>
        <w:t xml:space="preserve"> </w:t>
      </w:r>
      <w:r>
        <w:t>Clearance and authorisation will be available for arrangements with changing participants over time, supporting multi-party initiatives.</w:t>
      </w:r>
    </w:p>
    <w:p w14:paraId="3B3039E2" w14:textId="4C590C66" w:rsidR="006F1AB9" w:rsidRPr="00E6085E" w:rsidRDefault="121D2730" w:rsidP="121D2730">
      <w:pPr>
        <w:spacing w:after="120"/>
        <w:jc w:val="both"/>
        <w:rPr>
          <w:b/>
          <w:bCs/>
        </w:rPr>
      </w:pPr>
      <w:r w:rsidRPr="00E6085E">
        <w:rPr>
          <w:b/>
          <w:bCs/>
        </w:rPr>
        <w:t>Strengthening enforcement through</w:t>
      </w:r>
      <w:r w:rsidR="00140DEA">
        <w:rPr>
          <w:b/>
          <w:bCs/>
        </w:rPr>
        <w:t xml:space="preserve"> corrective action orders (i.e. </w:t>
      </w:r>
      <w:r w:rsidRPr="00E6085E">
        <w:rPr>
          <w:b/>
          <w:bCs/>
        </w:rPr>
        <w:t>performance injunctions</w:t>
      </w:r>
      <w:r w:rsidR="00140DEA">
        <w:rPr>
          <w:b/>
          <w:bCs/>
        </w:rPr>
        <w:t>)</w:t>
      </w:r>
    </w:p>
    <w:p w14:paraId="2F288E36" w14:textId="0F3D90E1" w:rsidR="00AB1438" w:rsidRDefault="121D2730" w:rsidP="00E6085E">
      <w:pPr>
        <w:spacing w:after="120"/>
        <w:jc w:val="both"/>
      </w:pPr>
      <w:r>
        <w:t xml:space="preserve">The Commerce Act allows courts to stop unlawful conduct but does not empower them to order firms to take corrective action when competition has been harmed. The Commission’s inability to seek </w:t>
      </w:r>
      <w:r w:rsidR="00140DEA">
        <w:t>corrective action orders</w:t>
      </w:r>
      <w:r>
        <w:t xml:space="preserve"> limits its ability to restore competition, especially in digital markets where dominant firms may entrench their position through self-preferencing or discriminatory access.</w:t>
      </w:r>
    </w:p>
    <w:p w14:paraId="7513DD5B" w14:textId="47EBC9D3" w:rsidR="00AB1438" w:rsidRDefault="00A85CC7" w:rsidP="00E6085E">
      <w:pPr>
        <w:spacing w:after="120"/>
        <w:jc w:val="both"/>
      </w:pPr>
      <w:r>
        <w:t>The</w:t>
      </w:r>
      <w:r w:rsidR="121D2730">
        <w:t xml:space="preserve"> Commission will now be empowered to apply for </w:t>
      </w:r>
      <w:r w:rsidR="00140DEA">
        <w:t>corrective action orders</w:t>
      </w:r>
      <w:r w:rsidR="121D2730">
        <w:t xml:space="preserve"> from the High Court to require parties to remedy contraventions of the Act.</w:t>
      </w:r>
    </w:p>
    <w:p w14:paraId="68139560" w14:textId="3BAA856F" w:rsidR="006F1AB9" w:rsidRPr="00E6085E" w:rsidRDefault="121D2730" w:rsidP="121D2730">
      <w:pPr>
        <w:spacing w:after="120"/>
        <w:jc w:val="both"/>
        <w:rPr>
          <w:b/>
          <w:bCs/>
        </w:rPr>
      </w:pPr>
      <w:r w:rsidRPr="00E6085E">
        <w:rPr>
          <w:b/>
          <w:bCs/>
        </w:rPr>
        <w:t>Protecting confidential information</w:t>
      </w:r>
    </w:p>
    <w:p w14:paraId="6227B31E" w14:textId="77777777" w:rsidR="00AB1438" w:rsidRDefault="006F1AB9" w:rsidP="00A85CC7">
      <w:pPr>
        <w:spacing w:after="120"/>
        <w:jc w:val="both"/>
      </w:pPr>
      <w:r>
        <w:t>Businesses</w:t>
      </w:r>
      <w:r w:rsidRPr="006F1AB9">
        <w:t xml:space="preserve"> and individuals are increasingly reluctant to share information with the Commission due to fears it could be released under the Official Information Act (OIA), risking retaliation or misuse by competitors. These concerns are undermining the Commission’s ability to collect evidence and receive useful information</w:t>
      </w:r>
      <w:r w:rsidR="007B56CB">
        <w:t xml:space="preserve">, </w:t>
      </w:r>
      <w:r w:rsidRPr="006F1AB9">
        <w:t>particularly in investigations and merger</w:t>
      </w:r>
      <w:r>
        <w:t>s</w:t>
      </w:r>
      <w:r w:rsidRPr="006F1AB9">
        <w:t>.</w:t>
      </w:r>
    </w:p>
    <w:p w14:paraId="7E731063" w14:textId="4A1CBC23" w:rsidR="006F1AB9" w:rsidRDefault="00E2558A" w:rsidP="00E2558A">
      <w:pPr>
        <w:spacing w:after="120"/>
        <w:jc w:val="both"/>
      </w:pPr>
      <w:r>
        <w:t>These</w:t>
      </w:r>
      <w:r w:rsidR="007E1BF1">
        <w:t xml:space="preserve"> reforms</w:t>
      </w:r>
      <w:r w:rsidR="007E1BF1" w:rsidRPr="007E1BF1">
        <w:t xml:space="preserve"> will help restore trust, encourage cooperation and ensure the Commission can access the information it needs</w:t>
      </w:r>
      <w:r w:rsidR="007E1BF1">
        <w:t xml:space="preserve">, </w:t>
      </w:r>
      <w:r w:rsidR="007E1BF1" w:rsidRPr="007E1BF1">
        <w:t>especially from complainants and whistleblowers</w:t>
      </w:r>
      <w:r w:rsidR="007B56CB">
        <w:t>:</w:t>
      </w:r>
    </w:p>
    <w:p w14:paraId="71C73C98" w14:textId="4B6A5485" w:rsidR="00AB1438" w:rsidRDefault="006F1AB9" w:rsidP="00E2558A">
      <w:pPr>
        <w:pStyle w:val="ListParagraph"/>
        <w:numPr>
          <w:ilvl w:val="0"/>
          <w:numId w:val="7"/>
        </w:numPr>
        <w:spacing w:after="120"/>
        <w:ind w:left="714" w:hanging="357"/>
        <w:contextualSpacing w:val="0"/>
        <w:jc w:val="both"/>
      </w:pPr>
      <w:r w:rsidRPr="00E2558A">
        <w:rPr>
          <w:i/>
          <w:iCs/>
        </w:rPr>
        <w:t>OIA exemption</w:t>
      </w:r>
      <w:r w:rsidRPr="00E2558A">
        <w:rPr>
          <w:b/>
          <w:bCs/>
        </w:rPr>
        <w:t xml:space="preserve">: </w:t>
      </w:r>
      <w:r w:rsidR="00140DEA">
        <w:t>The Commission will be prevented from publishing or disclosing confidential information under the OIA unless certain grounds for disclosure apply (</w:t>
      </w:r>
      <w:r w:rsidR="00210FD5">
        <w:t>including s</w:t>
      </w:r>
      <w:r w:rsidR="00140DEA">
        <w:t xml:space="preserve">uch as where the supplier consents, where the disclosure is to someone who </w:t>
      </w:r>
      <w:r w:rsidR="00140DEA">
        <w:lastRenderedPageBreak/>
        <w:t xml:space="preserve">the Commission considers has a proper interest in the information, or the information is in statistical or summary form). </w:t>
      </w:r>
      <w:r w:rsidR="00210FD5">
        <w:t>This protection will apply for an initial period of 10 years and can be extended if there is a risk of harm.</w:t>
      </w:r>
    </w:p>
    <w:p w14:paraId="77CAC31E" w14:textId="77777777" w:rsidR="00AB1438" w:rsidRDefault="006F1AB9" w:rsidP="00E2558A">
      <w:pPr>
        <w:pStyle w:val="ListParagraph"/>
        <w:numPr>
          <w:ilvl w:val="0"/>
          <w:numId w:val="7"/>
        </w:numPr>
        <w:spacing w:after="120"/>
        <w:ind w:left="714" w:hanging="357"/>
        <w:contextualSpacing w:val="0"/>
        <w:jc w:val="both"/>
      </w:pPr>
      <w:r w:rsidRPr="00E2558A">
        <w:rPr>
          <w:i/>
          <w:iCs/>
        </w:rPr>
        <w:t>Extended confidentiality orders</w:t>
      </w:r>
      <w:r w:rsidRPr="00E2558A">
        <w:rPr>
          <w:b/>
          <w:bCs/>
        </w:rPr>
        <w:t xml:space="preserve">: </w:t>
      </w:r>
      <w:r>
        <w:t>The Commission will be able to issue confidentiality orders over classes of information or documents, attach terms and conditions on release, and allow orders to remain in effect for up to 10 years.</w:t>
      </w:r>
    </w:p>
    <w:p w14:paraId="4684145D" w14:textId="77777777" w:rsidR="00AB1438" w:rsidRDefault="006F1AB9" w:rsidP="00E2558A">
      <w:pPr>
        <w:pStyle w:val="ListParagraph"/>
        <w:numPr>
          <w:ilvl w:val="0"/>
          <w:numId w:val="7"/>
        </w:numPr>
        <w:spacing w:after="120"/>
        <w:ind w:left="714" w:hanging="357"/>
        <w:contextualSpacing w:val="0"/>
        <w:jc w:val="both"/>
      </w:pPr>
      <w:r w:rsidRPr="00E2558A">
        <w:rPr>
          <w:i/>
          <w:iCs/>
        </w:rPr>
        <w:t>Whistleblower protections</w:t>
      </w:r>
      <w:r w:rsidRPr="00E2558A">
        <w:rPr>
          <w:b/>
          <w:bCs/>
        </w:rPr>
        <w:t xml:space="preserve">: </w:t>
      </w:r>
      <w:r>
        <w:t>Individuals who provide information to the Commission will be protected against retaliation, with provisions modelled on whistleblower legislation.</w:t>
      </w:r>
    </w:p>
    <w:p w14:paraId="6A374A81" w14:textId="38AC56A0" w:rsidR="00CB5992" w:rsidRPr="00E6085E" w:rsidRDefault="121D2730" w:rsidP="121D2730">
      <w:pPr>
        <w:spacing w:after="120"/>
        <w:jc w:val="both"/>
        <w:rPr>
          <w:b/>
          <w:bCs/>
        </w:rPr>
      </w:pPr>
      <w:r w:rsidRPr="00E6085E">
        <w:rPr>
          <w:b/>
          <w:bCs/>
        </w:rPr>
        <w:t>Updating the merger regime</w:t>
      </w:r>
    </w:p>
    <w:p w14:paraId="66323989" w14:textId="21FC41FA" w:rsidR="00CB5992" w:rsidRPr="00F7317B" w:rsidRDefault="00CB5992" w:rsidP="00E2558A">
      <w:pPr>
        <w:spacing w:after="120"/>
        <w:jc w:val="both"/>
      </w:pPr>
      <w:r w:rsidRPr="00F7317B">
        <w:t>Clearer rules, faster decisions and stronger protections will reduce regulatory burden and improve predictability for businesses.</w:t>
      </w:r>
      <w:r w:rsidR="007B56CB">
        <w:t xml:space="preserve"> This involves:</w:t>
      </w:r>
    </w:p>
    <w:p w14:paraId="7760C426" w14:textId="1EB90499" w:rsidR="00E2558A" w:rsidRDefault="00CB5992" w:rsidP="00E2558A">
      <w:pPr>
        <w:pStyle w:val="ListParagraph"/>
        <w:numPr>
          <w:ilvl w:val="0"/>
          <w:numId w:val="8"/>
        </w:numPr>
        <w:spacing w:after="120"/>
        <w:ind w:left="714" w:hanging="357"/>
        <w:contextualSpacing w:val="0"/>
        <w:jc w:val="both"/>
      </w:pPr>
      <w:r w:rsidRPr="00E2558A">
        <w:rPr>
          <w:i/>
          <w:iCs/>
        </w:rPr>
        <w:t>Clarifying the SLC test</w:t>
      </w:r>
      <w:r w:rsidRPr="00F7317B">
        <w:t xml:space="preserve">: The </w:t>
      </w:r>
      <w:r w:rsidR="0098483C">
        <w:t xml:space="preserve">substantially lessening of competition (SLC) </w:t>
      </w:r>
      <w:r w:rsidRPr="00F7317B">
        <w:t>test will explicitly cover conduct that creates, strengthens or entrenches market power</w:t>
      </w:r>
      <w:r>
        <w:t xml:space="preserve"> </w:t>
      </w:r>
      <w:r w:rsidR="00B279B0">
        <w:t>–</w:t>
      </w:r>
      <w:r>
        <w:t xml:space="preserve"> </w:t>
      </w:r>
      <w:r w:rsidRPr="00F7317B">
        <w:t xml:space="preserve">aligning with Australian reforms and helping the Commission assess </w:t>
      </w:r>
      <w:r w:rsidR="008769A1">
        <w:t>“</w:t>
      </w:r>
      <w:r w:rsidRPr="00F7317B">
        <w:t>killer acquisitions</w:t>
      </w:r>
      <w:r w:rsidR="008769A1">
        <w:t>”</w:t>
      </w:r>
      <w:r w:rsidR="00B66475">
        <w:t>,</w:t>
      </w:r>
      <w:r w:rsidRPr="00F7317B">
        <w:t xml:space="preserve"> where dominant firms acquire and shut down innovative startups.</w:t>
      </w:r>
    </w:p>
    <w:p w14:paraId="37E03F4F" w14:textId="77777777" w:rsidR="00AB1438" w:rsidRDefault="00CB5992" w:rsidP="00E2558A">
      <w:pPr>
        <w:pStyle w:val="ListParagraph"/>
        <w:numPr>
          <w:ilvl w:val="0"/>
          <w:numId w:val="8"/>
        </w:numPr>
        <w:spacing w:after="120"/>
        <w:ind w:left="714" w:hanging="357"/>
        <w:contextualSpacing w:val="0"/>
        <w:jc w:val="both"/>
      </w:pPr>
      <w:r w:rsidRPr="00E2558A">
        <w:rPr>
          <w:i/>
          <w:iCs/>
        </w:rPr>
        <w:t>Serial acquisitions:</w:t>
      </w:r>
      <w:r w:rsidRPr="00F7317B">
        <w:t xml:space="preserve"> The Commission will be empowered to assess patterns of small acquisitions over a three-year period, addressing concerns in sectors like car parking.</w:t>
      </w:r>
    </w:p>
    <w:p w14:paraId="60EBE73E" w14:textId="54DEA3DF" w:rsidR="00E2558A" w:rsidRDefault="00CB5992" w:rsidP="00E2558A">
      <w:pPr>
        <w:pStyle w:val="ListParagraph"/>
        <w:numPr>
          <w:ilvl w:val="0"/>
          <w:numId w:val="8"/>
        </w:numPr>
        <w:spacing w:after="120"/>
        <w:ind w:left="714" w:hanging="357"/>
        <w:contextualSpacing w:val="0"/>
        <w:jc w:val="both"/>
      </w:pPr>
      <w:r w:rsidRPr="00E2558A">
        <w:rPr>
          <w:i/>
          <w:iCs/>
        </w:rPr>
        <w:t>Clarifying key terms:</w:t>
      </w:r>
      <w:r w:rsidRPr="00F7317B">
        <w:t xml:space="preserve"> Businesses will have greater certainty about when to notify mergers. The reforms clarify when a partial acquisition gives </w:t>
      </w:r>
      <w:r w:rsidR="008769A1">
        <w:t>“</w:t>
      </w:r>
      <w:r w:rsidRPr="00F7317B">
        <w:t>substantial influence</w:t>
      </w:r>
      <w:r w:rsidR="008769A1">
        <w:t>”</w:t>
      </w:r>
      <w:r w:rsidRPr="00F7317B">
        <w:t xml:space="preserve"> and confirm that “assets of a business” includes rights, infrastructure and land.</w:t>
      </w:r>
    </w:p>
    <w:p w14:paraId="0FBA92AB" w14:textId="77777777" w:rsidR="00E2558A" w:rsidRDefault="00CB5992" w:rsidP="00E2558A">
      <w:pPr>
        <w:pStyle w:val="ListParagraph"/>
        <w:numPr>
          <w:ilvl w:val="0"/>
          <w:numId w:val="8"/>
        </w:numPr>
        <w:spacing w:after="120"/>
        <w:ind w:left="714" w:hanging="357"/>
        <w:contextualSpacing w:val="0"/>
        <w:jc w:val="both"/>
      </w:pPr>
      <w:r w:rsidRPr="00E2558A">
        <w:rPr>
          <w:i/>
          <w:iCs/>
        </w:rPr>
        <w:t>Behavioural undertakings</w:t>
      </w:r>
      <w:r w:rsidRPr="00F7317B">
        <w:t>: The Commission will be able to accept voluntary behavioural commitments to resolve competition concerns</w:t>
      </w:r>
      <w:r>
        <w:t xml:space="preserve"> </w:t>
      </w:r>
      <w:r w:rsidR="00B279B0">
        <w:t>–</w:t>
      </w:r>
      <w:r>
        <w:t xml:space="preserve"> </w:t>
      </w:r>
      <w:r w:rsidRPr="00F7317B">
        <w:t>filling a current gap and enabling more flexible outcomes, as seen in overseas practice.</w:t>
      </w:r>
    </w:p>
    <w:p w14:paraId="054225D9" w14:textId="77777777" w:rsidR="00E2558A" w:rsidRDefault="00CB5992" w:rsidP="00E2558A">
      <w:pPr>
        <w:pStyle w:val="ListParagraph"/>
        <w:numPr>
          <w:ilvl w:val="0"/>
          <w:numId w:val="8"/>
        </w:numPr>
        <w:spacing w:after="120"/>
        <w:ind w:left="714" w:hanging="357"/>
        <w:contextualSpacing w:val="0"/>
        <w:jc w:val="both"/>
      </w:pPr>
      <w:r w:rsidRPr="00E2558A">
        <w:rPr>
          <w:i/>
          <w:iCs/>
        </w:rPr>
        <w:t>Stay and hold / call-in powers</w:t>
      </w:r>
      <w:r w:rsidRPr="00F7317B">
        <w:t>: Targeted powers will allow the Commission to pause and assess risky mergers before completion, improving oversight without introducing a mandatory regime.</w:t>
      </w:r>
    </w:p>
    <w:p w14:paraId="78F9FE00" w14:textId="7D035E36" w:rsidR="00CB5992" w:rsidRPr="00F7317B" w:rsidRDefault="00CB5992" w:rsidP="00E2558A">
      <w:pPr>
        <w:pStyle w:val="ListParagraph"/>
        <w:numPr>
          <w:ilvl w:val="0"/>
          <w:numId w:val="8"/>
        </w:numPr>
        <w:spacing w:after="120"/>
        <w:ind w:left="714" w:hanging="357"/>
        <w:contextualSpacing w:val="0"/>
        <w:jc w:val="both"/>
      </w:pPr>
      <w:r w:rsidRPr="00E2558A">
        <w:rPr>
          <w:i/>
          <w:iCs/>
        </w:rPr>
        <w:t>Merger timeframes</w:t>
      </w:r>
      <w:r w:rsidRPr="00F7317B">
        <w:t>: A statutory timeframe of up to 140–160 working days will apply to complex cases. The Commission must publish a decision summary within one day and full reasons within 20 working days, improving transparency and enabling timely appeals.</w:t>
      </w:r>
    </w:p>
    <w:p w14:paraId="61E4E830" w14:textId="21E4F97A" w:rsidR="00F85760" w:rsidRPr="00E2558A" w:rsidRDefault="00F85760" w:rsidP="003241F1">
      <w:pPr>
        <w:spacing w:after="120"/>
        <w:jc w:val="both"/>
        <w:rPr>
          <w:b/>
          <w:bCs/>
        </w:rPr>
      </w:pPr>
      <w:r w:rsidRPr="00E2558A">
        <w:rPr>
          <w:b/>
          <w:bCs/>
        </w:rPr>
        <w:t>Predatory pricing</w:t>
      </w:r>
    </w:p>
    <w:p w14:paraId="136C5449" w14:textId="26D3FEF7" w:rsidR="003241F1" w:rsidRDefault="003241F1" w:rsidP="00E2558A">
      <w:pPr>
        <w:spacing w:after="120"/>
        <w:jc w:val="both"/>
      </w:pPr>
      <w:bookmarkStart w:id="0" w:name="_Hlk207885768"/>
      <w:r w:rsidRPr="00626A73">
        <w:t>Predatory pricing occurs when powerful firms set prices below cost to drive out competitors, then raise prices once competition is weakened.</w:t>
      </w:r>
      <w:bookmarkEnd w:id="0"/>
      <w:r>
        <w:t xml:space="preserve"> Allegations have emerged in sectors like aviation, groceries and building supplies, but enforcement has been limited due to legal uncertainty.</w:t>
      </w:r>
    </w:p>
    <w:p w14:paraId="4D219B12" w14:textId="37B05BD5" w:rsidR="003241F1" w:rsidRDefault="003B050A" w:rsidP="00E2558A">
      <w:pPr>
        <w:spacing w:after="120"/>
        <w:jc w:val="both"/>
      </w:pPr>
      <w:r>
        <w:t xml:space="preserve">A </w:t>
      </w:r>
      <w:r w:rsidR="003241F1">
        <w:t>new objective test will clarify when below-cost pricing breaches the Commerce Act, aligning with international standards</w:t>
      </w:r>
      <w:r w:rsidR="00AB1438">
        <w:t xml:space="preserve">. </w:t>
      </w:r>
      <w:r w:rsidR="003241F1">
        <w:t>Short-term promotions or one-off discounts won’t be captured unless part of a broader pattern</w:t>
      </w:r>
      <w:r w:rsidR="008006BD">
        <w:t>, and proof of recoupment will no longer be required to establish a breach.</w:t>
      </w:r>
    </w:p>
    <w:sectPr w:rsidR="003241F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8DDE" w14:textId="77777777" w:rsidR="008E57FB" w:rsidRDefault="008E57FB" w:rsidP="00CB5992">
      <w:pPr>
        <w:spacing w:after="0" w:line="240" w:lineRule="auto"/>
      </w:pPr>
      <w:r>
        <w:separator/>
      </w:r>
    </w:p>
  </w:endnote>
  <w:endnote w:type="continuationSeparator" w:id="0">
    <w:p w14:paraId="457341E4" w14:textId="77777777" w:rsidR="008E57FB" w:rsidRDefault="008E57FB" w:rsidP="00CB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245969"/>
      <w:docPartObj>
        <w:docPartGallery w:val="Page Numbers (Bottom of Page)"/>
        <w:docPartUnique/>
      </w:docPartObj>
    </w:sdtPr>
    <w:sdtEndPr>
      <w:rPr>
        <w:noProof/>
      </w:rPr>
    </w:sdtEndPr>
    <w:sdtContent>
      <w:p w14:paraId="7AF4F06C" w14:textId="2E9ACCB1" w:rsidR="005D4D4B" w:rsidRDefault="005D4D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0C21B" w14:textId="77777777" w:rsidR="005D4D4B" w:rsidRDefault="005D4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6066" w14:textId="77777777" w:rsidR="008E57FB" w:rsidRDefault="008E57FB" w:rsidP="00CB5992">
      <w:pPr>
        <w:spacing w:after="0" w:line="240" w:lineRule="auto"/>
      </w:pPr>
      <w:r>
        <w:separator/>
      </w:r>
    </w:p>
  </w:footnote>
  <w:footnote w:type="continuationSeparator" w:id="0">
    <w:p w14:paraId="7BA75441" w14:textId="77777777" w:rsidR="008E57FB" w:rsidRDefault="008E57FB" w:rsidP="00CB5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C6B1"/>
    <w:multiLevelType w:val="hybridMultilevel"/>
    <w:tmpl w:val="E3F8606A"/>
    <w:lvl w:ilvl="0" w:tplc="17768F8C">
      <w:start w:val="1"/>
      <w:numFmt w:val="bullet"/>
      <w:lvlText w:val=""/>
      <w:lvlJc w:val="left"/>
      <w:pPr>
        <w:ind w:left="720" w:hanging="360"/>
      </w:pPr>
      <w:rPr>
        <w:rFonts w:ascii="Symbol" w:hAnsi="Symbol" w:hint="default"/>
      </w:rPr>
    </w:lvl>
    <w:lvl w:ilvl="1" w:tplc="667C12EC">
      <w:start w:val="1"/>
      <w:numFmt w:val="bullet"/>
      <w:lvlText w:val="o"/>
      <w:lvlJc w:val="left"/>
      <w:pPr>
        <w:ind w:left="1440" w:hanging="360"/>
      </w:pPr>
      <w:rPr>
        <w:rFonts w:ascii="Courier New" w:hAnsi="Courier New" w:hint="default"/>
      </w:rPr>
    </w:lvl>
    <w:lvl w:ilvl="2" w:tplc="2E2E14B0">
      <w:start w:val="1"/>
      <w:numFmt w:val="bullet"/>
      <w:lvlText w:val=""/>
      <w:lvlJc w:val="left"/>
      <w:pPr>
        <w:ind w:left="2160" w:hanging="360"/>
      </w:pPr>
      <w:rPr>
        <w:rFonts w:ascii="Wingdings" w:hAnsi="Wingdings" w:hint="default"/>
      </w:rPr>
    </w:lvl>
    <w:lvl w:ilvl="3" w:tplc="17B28314">
      <w:start w:val="1"/>
      <w:numFmt w:val="bullet"/>
      <w:lvlText w:val=""/>
      <w:lvlJc w:val="left"/>
      <w:pPr>
        <w:ind w:left="2880" w:hanging="360"/>
      </w:pPr>
      <w:rPr>
        <w:rFonts w:ascii="Symbol" w:hAnsi="Symbol" w:hint="default"/>
      </w:rPr>
    </w:lvl>
    <w:lvl w:ilvl="4" w:tplc="05CCA5E6">
      <w:start w:val="1"/>
      <w:numFmt w:val="bullet"/>
      <w:lvlText w:val="o"/>
      <w:lvlJc w:val="left"/>
      <w:pPr>
        <w:ind w:left="3600" w:hanging="360"/>
      </w:pPr>
      <w:rPr>
        <w:rFonts w:ascii="Courier New" w:hAnsi="Courier New" w:hint="default"/>
      </w:rPr>
    </w:lvl>
    <w:lvl w:ilvl="5" w:tplc="147AEE38">
      <w:start w:val="1"/>
      <w:numFmt w:val="bullet"/>
      <w:lvlText w:val=""/>
      <w:lvlJc w:val="left"/>
      <w:pPr>
        <w:ind w:left="4320" w:hanging="360"/>
      </w:pPr>
      <w:rPr>
        <w:rFonts w:ascii="Wingdings" w:hAnsi="Wingdings" w:hint="default"/>
      </w:rPr>
    </w:lvl>
    <w:lvl w:ilvl="6" w:tplc="9552D620">
      <w:start w:val="1"/>
      <w:numFmt w:val="bullet"/>
      <w:lvlText w:val=""/>
      <w:lvlJc w:val="left"/>
      <w:pPr>
        <w:ind w:left="5040" w:hanging="360"/>
      </w:pPr>
      <w:rPr>
        <w:rFonts w:ascii="Symbol" w:hAnsi="Symbol" w:hint="default"/>
      </w:rPr>
    </w:lvl>
    <w:lvl w:ilvl="7" w:tplc="246A72DC">
      <w:start w:val="1"/>
      <w:numFmt w:val="bullet"/>
      <w:lvlText w:val="o"/>
      <w:lvlJc w:val="left"/>
      <w:pPr>
        <w:ind w:left="5760" w:hanging="360"/>
      </w:pPr>
      <w:rPr>
        <w:rFonts w:ascii="Courier New" w:hAnsi="Courier New" w:hint="default"/>
      </w:rPr>
    </w:lvl>
    <w:lvl w:ilvl="8" w:tplc="C0B6B2F0">
      <w:start w:val="1"/>
      <w:numFmt w:val="bullet"/>
      <w:lvlText w:val=""/>
      <w:lvlJc w:val="left"/>
      <w:pPr>
        <w:ind w:left="6480" w:hanging="360"/>
      </w:pPr>
      <w:rPr>
        <w:rFonts w:ascii="Wingdings" w:hAnsi="Wingdings" w:hint="default"/>
      </w:rPr>
    </w:lvl>
  </w:abstractNum>
  <w:abstractNum w:abstractNumId="1" w15:restartNumberingAfterBreak="0">
    <w:nsid w:val="164C2973"/>
    <w:multiLevelType w:val="hybridMultilevel"/>
    <w:tmpl w:val="E49E48BC"/>
    <w:lvl w:ilvl="0" w:tplc="34FACE1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163C62"/>
    <w:multiLevelType w:val="multilevel"/>
    <w:tmpl w:val="8F6471D4"/>
    <w:lvl w:ilvl="0">
      <w:start w:val="1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7EC604B"/>
    <w:multiLevelType w:val="multilevel"/>
    <w:tmpl w:val="028888DC"/>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numFmt w:val="bullet"/>
      <w:lvlText w:val="-"/>
      <w:lvlJc w:val="left"/>
      <w:pPr>
        <w:ind w:left="1800" w:hanging="360"/>
      </w:pPr>
      <w:rPr>
        <w:rFonts w:ascii="Aptos" w:eastAsiaTheme="minorHAnsi" w:hAnsi="Aptos" w:cstheme="minorBid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23204C8"/>
    <w:multiLevelType w:val="multilevel"/>
    <w:tmpl w:val="D1DEAF74"/>
    <w:lvl w:ilvl="0">
      <w:start w:val="1"/>
      <w:numFmt w:val="decimal"/>
      <w:lvlText w:val="%1."/>
      <w:lvlJc w:val="left"/>
      <w:pPr>
        <w:tabs>
          <w:tab w:val="num" w:pos="360"/>
        </w:tabs>
        <w:ind w:left="360" w:hanging="360"/>
      </w:pPr>
      <w:rPr>
        <w:rFonts w:asciiTheme="minorHAnsi" w:eastAsiaTheme="minorHAnsi" w:hAnsiTheme="minorHAnsi" w:cstheme="minorBidi"/>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0A5BE8F"/>
    <w:multiLevelType w:val="hybridMultilevel"/>
    <w:tmpl w:val="E6B41F0C"/>
    <w:lvl w:ilvl="0" w:tplc="6B5E5222">
      <w:start w:val="1"/>
      <w:numFmt w:val="bullet"/>
      <w:lvlText w:val=""/>
      <w:lvlJc w:val="left"/>
      <w:pPr>
        <w:ind w:left="720" w:hanging="360"/>
      </w:pPr>
      <w:rPr>
        <w:rFonts w:ascii="Symbol" w:hAnsi="Symbol" w:hint="default"/>
      </w:rPr>
    </w:lvl>
    <w:lvl w:ilvl="1" w:tplc="62026DB8">
      <w:start w:val="1"/>
      <w:numFmt w:val="bullet"/>
      <w:lvlText w:val="o"/>
      <w:lvlJc w:val="left"/>
      <w:pPr>
        <w:ind w:left="1440" w:hanging="360"/>
      </w:pPr>
      <w:rPr>
        <w:rFonts w:ascii="Courier New" w:hAnsi="Courier New" w:hint="default"/>
      </w:rPr>
    </w:lvl>
    <w:lvl w:ilvl="2" w:tplc="B248F50E">
      <w:start w:val="1"/>
      <w:numFmt w:val="bullet"/>
      <w:lvlText w:val=""/>
      <w:lvlJc w:val="left"/>
      <w:pPr>
        <w:ind w:left="2160" w:hanging="360"/>
      </w:pPr>
      <w:rPr>
        <w:rFonts w:ascii="Wingdings" w:hAnsi="Wingdings" w:hint="default"/>
      </w:rPr>
    </w:lvl>
    <w:lvl w:ilvl="3" w:tplc="D7FEE7E6">
      <w:start w:val="1"/>
      <w:numFmt w:val="bullet"/>
      <w:lvlText w:val=""/>
      <w:lvlJc w:val="left"/>
      <w:pPr>
        <w:ind w:left="2880" w:hanging="360"/>
      </w:pPr>
      <w:rPr>
        <w:rFonts w:ascii="Symbol" w:hAnsi="Symbol" w:hint="default"/>
      </w:rPr>
    </w:lvl>
    <w:lvl w:ilvl="4" w:tplc="1432188A">
      <w:start w:val="1"/>
      <w:numFmt w:val="bullet"/>
      <w:lvlText w:val="o"/>
      <w:lvlJc w:val="left"/>
      <w:pPr>
        <w:ind w:left="3600" w:hanging="360"/>
      </w:pPr>
      <w:rPr>
        <w:rFonts w:ascii="Courier New" w:hAnsi="Courier New" w:hint="default"/>
      </w:rPr>
    </w:lvl>
    <w:lvl w:ilvl="5" w:tplc="D3B45EEA">
      <w:start w:val="1"/>
      <w:numFmt w:val="bullet"/>
      <w:lvlText w:val=""/>
      <w:lvlJc w:val="left"/>
      <w:pPr>
        <w:ind w:left="4320" w:hanging="360"/>
      </w:pPr>
      <w:rPr>
        <w:rFonts w:ascii="Wingdings" w:hAnsi="Wingdings" w:hint="default"/>
      </w:rPr>
    </w:lvl>
    <w:lvl w:ilvl="6" w:tplc="C1A8FD38">
      <w:start w:val="1"/>
      <w:numFmt w:val="bullet"/>
      <w:lvlText w:val=""/>
      <w:lvlJc w:val="left"/>
      <w:pPr>
        <w:ind w:left="5040" w:hanging="360"/>
      </w:pPr>
      <w:rPr>
        <w:rFonts w:ascii="Symbol" w:hAnsi="Symbol" w:hint="default"/>
      </w:rPr>
    </w:lvl>
    <w:lvl w:ilvl="7" w:tplc="193EAF18">
      <w:start w:val="1"/>
      <w:numFmt w:val="bullet"/>
      <w:lvlText w:val="o"/>
      <w:lvlJc w:val="left"/>
      <w:pPr>
        <w:ind w:left="5760" w:hanging="360"/>
      </w:pPr>
      <w:rPr>
        <w:rFonts w:ascii="Courier New" w:hAnsi="Courier New" w:hint="default"/>
      </w:rPr>
    </w:lvl>
    <w:lvl w:ilvl="8" w:tplc="CF9E5B66">
      <w:start w:val="1"/>
      <w:numFmt w:val="bullet"/>
      <w:lvlText w:val=""/>
      <w:lvlJc w:val="left"/>
      <w:pPr>
        <w:ind w:left="6480" w:hanging="360"/>
      </w:pPr>
      <w:rPr>
        <w:rFonts w:ascii="Wingdings" w:hAnsi="Wingdings" w:hint="default"/>
      </w:rPr>
    </w:lvl>
  </w:abstractNum>
  <w:abstractNum w:abstractNumId="6" w15:restartNumberingAfterBreak="0">
    <w:nsid w:val="7BE37E1B"/>
    <w:multiLevelType w:val="hybridMultilevel"/>
    <w:tmpl w:val="5CE65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FBC32FF"/>
    <w:multiLevelType w:val="hybridMultilevel"/>
    <w:tmpl w:val="1A1E7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91731363">
    <w:abstractNumId w:val="0"/>
  </w:num>
  <w:num w:numId="2" w16cid:durableId="1470512661">
    <w:abstractNumId w:val="5"/>
  </w:num>
  <w:num w:numId="3" w16cid:durableId="85419971">
    <w:abstractNumId w:val="4"/>
  </w:num>
  <w:num w:numId="4" w16cid:durableId="331839490">
    <w:abstractNumId w:val="3"/>
  </w:num>
  <w:num w:numId="5" w16cid:durableId="646009650">
    <w:abstractNumId w:val="2"/>
  </w:num>
  <w:num w:numId="6" w16cid:durableId="519856428">
    <w:abstractNumId w:val="1"/>
  </w:num>
  <w:num w:numId="7" w16cid:durableId="1380931068">
    <w:abstractNumId w:val="6"/>
  </w:num>
  <w:num w:numId="8" w16cid:durableId="1961455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2"/>
    <w:rsid w:val="00096064"/>
    <w:rsid w:val="00097BB4"/>
    <w:rsid w:val="0011098F"/>
    <w:rsid w:val="00110EE5"/>
    <w:rsid w:val="001358B0"/>
    <w:rsid w:val="00140DEA"/>
    <w:rsid w:val="001A1B0A"/>
    <w:rsid w:val="001A51D4"/>
    <w:rsid w:val="001D78BD"/>
    <w:rsid w:val="00210FD5"/>
    <w:rsid w:val="002240F0"/>
    <w:rsid w:val="002A7EC0"/>
    <w:rsid w:val="003241F1"/>
    <w:rsid w:val="003B050A"/>
    <w:rsid w:val="00460BD0"/>
    <w:rsid w:val="0046306A"/>
    <w:rsid w:val="00486C21"/>
    <w:rsid w:val="004C045E"/>
    <w:rsid w:val="004C27D0"/>
    <w:rsid w:val="004F228E"/>
    <w:rsid w:val="0053337F"/>
    <w:rsid w:val="005570C8"/>
    <w:rsid w:val="005D4D4B"/>
    <w:rsid w:val="005F2953"/>
    <w:rsid w:val="005F6597"/>
    <w:rsid w:val="005F666D"/>
    <w:rsid w:val="00626A73"/>
    <w:rsid w:val="00671BF7"/>
    <w:rsid w:val="00683862"/>
    <w:rsid w:val="006F1AB9"/>
    <w:rsid w:val="0076301A"/>
    <w:rsid w:val="00794FBC"/>
    <w:rsid w:val="0079562E"/>
    <w:rsid w:val="007B56CB"/>
    <w:rsid w:val="007E1BF1"/>
    <w:rsid w:val="007F157E"/>
    <w:rsid w:val="008006BD"/>
    <w:rsid w:val="00804466"/>
    <w:rsid w:val="0087104D"/>
    <w:rsid w:val="008769A1"/>
    <w:rsid w:val="008A5788"/>
    <w:rsid w:val="008E57FB"/>
    <w:rsid w:val="009256D9"/>
    <w:rsid w:val="009473CF"/>
    <w:rsid w:val="00955676"/>
    <w:rsid w:val="009754C5"/>
    <w:rsid w:val="0098483C"/>
    <w:rsid w:val="009C7E2D"/>
    <w:rsid w:val="00A1658C"/>
    <w:rsid w:val="00A34145"/>
    <w:rsid w:val="00A85CC7"/>
    <w:rsid w:val="00AB1438"/>
    <w:rsid w:val="00B25537"/>
    <w:rsid w:val="00B279B0"/>
    <w:rsid w:val="00B51BD2"/>
    <w:rsid w:val="00B66475"/>
    <w:rsid w:val="00B92E10"/>
    <w:rsid w:val="00C02250"/>
    <w:rsid w:val="00CA761C"/>
    <w:rsid w:val="00CB5992"/>
    <w:rsid w:val="00D013C0"/>
    <w:rsid w:val="00D2652E"/>
    <w:rsid w:val="00D638B9"/>
    <w:rsid w:val="00DB337E"/>
    <w:rsid w:val="00DB630A"/>
    <w:rsid w:val="00DC276A"/>
    <w:rsid w:val="00E137A8"/>
    <w:rsid w:val="00E2558A"/>
    <w:rsid w:val="00E6085E"/>
    <w:rsid w:val="00F0113B"/>
    <w:rsid w:val="00F45F32"/>
    <w:rsid w:val="00F5594F"/>
    <w:rsid w:val="00F71545"/>
    <w:rsid w:val="00F77DAB"/>
    <w:rsid w:val="00F85760"/>
    <w:rsid w:val="00FA23A5"/>
    <w:rsid w:val="00FB33C8"/>
    <w:rsid w:val="121D27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981A"/>
  <w15:chartTrackingRefBased/>
  <w15:docId w15:val="{4428905F-0145-4F5C-856C-7BC3CA41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C0"/>
  </w:style>
  <w:style w:type="paragraph" w:styleId="Heading1">
    <w:name w:val="heading 1"/>
    <w:basedOn w:val="Normal"/>
    <w:next w:val="Normal"/>
    <w:link w:val="Heading1Char"/>
    <w:uiPriority w:val="9"/>
    <w:qFormat/>
    <w:rsid w:val="00CB5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21D2730"/>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121D2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992"/>
    <w:rPr>
      <w:rFonts w:eastAsiaTheme="majorEastAsia" w:cstheme="majorBidi"/>
      <w:color w:val="272727" w:themeColor="text1" w:themeTint="D8"/>
    </w:rPr>
  </w:style>
  <w:style w:type="paragraph" w:styleId="Title">
    <w:name w:val="Title"/>
    <w:basedOn w:val="Normal"/>
    <w:next w:val="Normal"/>
    <w:link w:val="TitleChar"/>
    <w:uiPriority w:val="10"/>
    <w:qFormat/>
    <w:rsid w:val="00CB5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992"/>
    <w:pPr>
      <w:spacing w:before="160"/>
      <w:jc w:val="center"/>
    </w:pPr>
    <w:rPr>
      <w:i/>
      <w:iCs/>
      <w:color w:val="404040" w:themeColor="text1" w:themeTint="BF"/>
    </w:rPr>
  </w:style>
  <w:style w:type="character" w:customStyle="1" w:styleId="QuoteChar">
    <w:name w:val="Quote Char"/>
    <w:basedOn w:val="DefaultParagraphFont"/>
    <w:link w:val="Quote"/>
    <w:uiPriority w:val="29"/>
    <w:rsid w:val="00CB5992"/>
    <w:rPr>
      <w:i/>
      <w:iCs/>
      <w:color w:val="404040" w:themeColor="text1" w:themeTint="BF"/>
    </w:rPr>
  </w:style>
  <w:style w:type="paragraph" w:styleId="ListParagraph">
    <w:name w:val="List Paragraph"/>
    <w:basedOn w:val="Normal"/>
    <w:uiPriority w:val="34"/>
    <w:qFormat/>
    <w:rsid w:val="00CB5992"/>
    <w:pPr>
      <w:ind w:left="720"/>
      <w:contextualSpacing/>
    </w:pPr>
  </w:style>
  <w:style w:type="character" w:styleId="IntenseEmphasis">
    <w:name w:val="Intense Emphasis"/>
    <w:basedOn w:val="DefaultParagraphFont"/>
    <w:uiPriority w:val="21"/>
    <w:qFormat/>
    <w:rsid w:val="00CB5992"/>
    <w:rPr>
      <w:i/>
      <w:iCs/>
      <w:color w:val="0F4761" w:themeColor="accent1" w:themeShade="BF"/>
    </w:rPr>
  </w:style>
  <w:style w:type="paragraph" w:styleId="IntenseQuote">
    <w:name w:val="Intense Quote"/>
    <w:basedOn w:val="Normal"/>
    <w:next w:val="Normal"/>
    <w:link w:val="IntenseQuoteChar"/>
    <w:uiPriority w:val="30"/>
    <w:qFormat/>
    <w:rsid w:val="00CB5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992"/>
    <w:rPr>
      <w:i/>
      <w:iCs/>
      <w:color w:val="0F4761" w:themeColor="accent1" w:themeShade="BF"/>
    </w:rPr>
  </w:style>
  <w:style w:type="character" w:styleId="IntenseReference">
    <w:name w:val="Intense Reference"/>
    <w:basedOn w:val="DefaultParagraphFont"/>
    <w:uiPriority w:val="32"/>
    <w:qFormat/>
    <w:rsid w:val="00CB5992"/>
    <w:rPr>
      <w:b/>
      <w:bCs/>
      <w:smallCaps/>
      <w:color w:val="0F4761" w:themeColor="accent1" w:themeShade="BF"/>
      <w:spacing w:val="5"/>
    </w:rPr>
  </w:style>
  <w:style w:type="paragraph" w:styleId="Header">
    <w:name w:val="header"/>
    <w:basedOn w:val="Normal"/>
    <w:link w:val="HeaderChar"/>
    <w:uiPriority w:val="99"/>
    <w:unhideWhenUsed/>
    <w:rsid w:val="00CB5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992"/>
  </w:style>
  <w:style w:type="paragraph" w:styleId="Footer">
    <w:name w:val="footer"/>
    <w:basedOn w:val="Normal"/>
    <w:link w:val="FooterChar"/>
    <w:uiPriority w:val="99"/>
    <w:unhideWhenUsed/>
    <w:rsid w:val="00CB5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992"/>
  </w:style>
  <w:style w:type="character" w:styleId="CommentReference">
    <w:name w:val="annotation reference"/>
    <w:basedOn w:val="DefaultParagraphFont"/>
    <w:uiPriority w:val="99"/>
    <w:semiHidden/>
    <w:unhideWhenUsed/>
    <w:rsid w:val="00B51BD2"/>
    <w:rPr>
      <w:sz w:val="16"/>
      <w:szCs w:val="16"/>
    </w:rPr>
  </w:style>
  <w:style w:type="paragraph" w:styleId="CommentText">
    <w:name w:val="annotation text"/>
    <w:basedOn w:val="Normal"/>
    <w:link w:val="CommentTextChar"/>
    <w:uiPriority w:val="99"/>
    <w:unhideWhenUsed/>
    <w:rsid w:val="00B51BD2"/>
    <w:pPr>
      <w:spacing w:line="240" w:lineRule="auto"/>
    </w:pPr>
    <w:rPr>
      <w:sz w:val="20"/>
      <w:szCs w:val="20"/>
    </w:rPr>
  </w:style>
  <w:style w:type="character" w:customStyle="1" w:styleId="CommentTextChar">
    <w:name w:val="Comment Text Char"/>
    <w:basedOn w:val="DefaultParagraphFont"/>
    <w:link w:val="CommentText"/>
    <w:uiPriority w:val="99"/>
    <w:rsid w:val="00B51BD2"/>
    <w:rPr>
      <w:sz w:val="20"/>
      <w:szCs w:val="20"/>
    </w:rPr>
  </w:style>
  <w:style w:type="paragraph" w:styleId="CommentSubject">
    <w:name w:val="annotation subject"/>
    <w:basedOn w:val="CommentText"/>
    <w:next w:val="CommentText"/>
    <w:link w:val="CommentSubjectChar"/>
    <w:uiPriority w:val="99"/>
    <w:semiHidden/>
    <w:unhideWhenUsed/>
    <w:rsid w:val="00B51BD2"/>
    <w:rPr>
      <w:b/>
      <w:bCs/>
    </w:rPr>
  </w:style>
  <w:style w:type="character" w:customStyle="1" w:styleId="CommentSubjectChar">
    <w:name w:val="Comment Subject Char"/>
    <w:basedOn w:val="CommentTextChar"/>
    <w:link w:val="CommentSubject"/>
    <w:uiPriority w:val="99"/>
    <w:semiHidden/>
    <w:rsid w:val="00B51BD2"/>
    <w:rPr>
      <w:b/>
      <w:bCs/>
      <w:sz w:val="20"/>
      <w:szCs w:val="20"/>
    </w:rPr>
  </w:style>
  <w:style w:type="paragraph" w:styleId="Revision">
    <w:name w:val="Revision"/>
    <w:hidden/>
    <w:uiPriority w:val="99"/>
    <w:semiHidden/>
    <w:rsid w:val="009754C5"/>
    <w:pPr>
      <w:spacing w:after="0" w:line="240" w:lineRule="auto"/>
    </w:pPr>
  </w:style>
  <w:style w:type="character" w:styleId="Hyperlink">
    <w:name w:val="Hyperlink"/>
    <w:basedOn w:val="DefaultParagraphFont"/>
    <w:uiPriority w:val="99"/>
    <w:unhideWhenUsed/>
    <w:rsid w:val="009473CF"/>
    <w:rPr>
      <w:color w:val="467886" w:themeColor="hyperlink"/>
      <w:u w:val="single"/>
    </w:rPr>
  </w:style>
  <w:style w:type="character" w:styleId="UnresolvedMention">
    <w:name w:val="Unresolved Mention"/>
    <w:basedOn w:val="DefaultParagraphFont"/>
    <w:uiPriority w:val="99"/>
    <w:semiHidden/>
    <w:unhideWhenUsed/>
    <w:rsid w:val="0094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Henning</dc:creator>
  <cp:keywords/>
  <dc:description/>
  <cp:lastModifiedBy>Tracey Lowndes</cp:lastModifiedBy>
  <cp:revision>11</cp:revision>
  <dcterms:created xsi:type="dcterms:W3CDTF">2025-11-28T00:35:00Z</dcterms:created>
  <dcterms:modified xsi:type="dcterms:W3CDTF">2025-12-01T03:13:00Z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2025-08-27T00:36:41Z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a2219eb5-0fd9-4dc1-94d7-823ddb7d06b7</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