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tblCellMar>
          <w:left w:w="0" w:type="dxa"/>
          <w:right w:w="0" w:type="dxa"/>
        </w:tblCellMar>
        <w:tblLook w:val="04A0" w:firstRow="1" w:lastRow="0" w:firstColumn="1" w:lastColumn="0" w:noHBand="0" w:noVBand="1"/>
      </w:tblPr>
      <w:tblGrid>
        <w:gridCol w:w="8520"/>
      </w:tblGrid>
      <w:tr w:rsidR="0004127B" w:rsidTr="0004127B">
        <w:trPr>
          <w:tblCellSpacing w:w="0" w:type="dxa"/>
        </w:trPr>
        <w:tc>
          <w:tcPr>
            <w:tcW w:w="8520" w:type="dxa"/>
          </w:tcPr>
          <w:p w:rsidR="00E7705A" w:rsidRDefault="00E7705A" w:rsidP="0004127B">
            <w:pPr>
              <w:spacing w:after="160" w:line="252" w:lineRule="auto"/>
              <w:jc w:val="both"/>
              <w:rPr>
                <w:rFonts w:ascii="Arial" w:hAnsi="Arial" w:cs="Arial"/>
                <w:b/>
                <w:bCs/>
                <w:lang w:val="en-GB"/>
              </w:rPr>
            </w:pPr>
            <w:r>
              <w:rPr>
                <w:rFonts w:ascii="Arial" w:hAnsi="Arial" w:cs="Arial"/>
                <w:b/>
                <w:bCs/>
                <w:lang w:val="en-GB"/>
              </w:rPr>
              <w:t>Note to Editors:</w:t>
            </w:r>
          </w:p>
          <w:p w:rsidR="00E7705A" w:rsidRPr="00E7705A" w:rsidRDefault="00C26881" w:rsidP="00E7705A">
            <w:pPr>
              <w:spacing w:after="160" w:line="252" w:lineRule="auto"/>
              <w:jc w:val="both"/>
              <w:rPr>
                <w:rFonts w:ascii="Arial" w:hAnsi="Arial" w:cs="Arial"/>
              </w:rPr>
            </w:pPr>
            <w:r>
              <w:rPr>
                <w:rFonts w:ascii="Arial" w:hAnsi="Arial" w:cs="Arial"/>
              </w:rPr>
              <w:t xml:space="preserve">The </w:t>
            </w:r>
            <w:proofErr w:type="spellStart"/>
            <w:r>
              <w:rPr>
                <w:rFonts w:ascii="Arial" w:hAnsi="Arial" w:cs="Arial"/>
              </w:rPr>
              <w:t>Tairā</w:t>
            </w:r>
            <w:r w:rsidR="00E7705A" w:rsidRPr="00E7705A">
              <w:rPr>
                <w:rFonts w:ascii="Arial" w:hAnsi="Arial" w:cs="Arial"/>
              </w:rPr>
              <w:t>whiti</w:t>
            </w:r>
            <w:proofErr w:type="spellEnd"/>
            <w:r w:rsidR="00E7705A" w:rsidRPr="00E7705A">
              <w:rPr>
                <w:rFonts w:ascii="Arial" w:hAnsi="Arial" w:cs="Arial"/>
              </w:rPr>
              <w:t xml:space="preserve"> </w:t>
            </w:r>
            <w:proofErr w:type="spellStart"/>
            <w:r w:rsidR="00E7705A" w:rsidRPr="00E7705A">
              <w:rPr>
                <w:rFonts w:ascii="Arial" w:hAnsi="Arial" w:cs="Arial"/>
              </w:rPr>
              <w:t>Roading</w:t>
            </w:r>
            <w:proofErr w:type="spellEnd"/>
            <w:r w:rsidR="00E7705A" w:rsidRPr="00E7705A">
              <w:rPr>
                <w:rFonts w:ascii="Arial" w:hAnsi="Arial" w:cs="Arial"/>
              </w:rPr>
              <w:t xml:space="preserve"> Package consists of four components:</w:t>
            </w:r>
          </w:p>
          <w:p w:rsidR="00E7705A" w:rsidRPr="00E7705A" w:rsidRDefault="00E7705A" w:rsidP="00E7705A">
            <w:pPr>
              <w:pStyle w:val="ListParagraph"/>
              <w:numPr>
                <w:ilvl w:val="0"/>
                <w:numId w:val="3"/>
              </w:numPr>
              <w:spacing w:after="160" w:line="252" w:lineRule="auto"/>
              <w:jc w:val="both"/>
              <w:rPr>
                <w:rFonts w:ascii="Arial" w:hAnsi="Arial" w:cs="Arial"/>
              </w:rPr>
            </w:pPr>
            <w:r w:rsidRPr="00E7705A">
              <w:rPr>
                <w:rFonts w:ascii="Arial" w:hAnsi="Arial" w:cs="Arial"/>
              </w:rPr>
              <w:t>Two-year physical works programme totalling $33.90 million</w:t>
            </w:r>
          </w:p>
          <w:p w:rsidR="00E7705A" w:rsidRDefault="00E7705A" w:rsidP="00E7705A">
            <w:pPr>
              <w:pStyle w:val="ListParagraph"/>
              <w:spacing w:after="160" w:line="252" w:lineRule="auto"/>
              <w:jc w:val="both"/>
              <w:rPr>
                <w:rFonts w:ascii="Arial" w:hAnsi="Arial" w:cs="Arial"/>
              </w:rPr>
            </w:pPr>
          </w:p>
          <w:p w:rsidR="00E7705A" w:rsidRPr="00E7705A" w:rsidRDefault="00E7705A" w:rsidP="00E7705A">
            <w:pPr>
              <w:pStyle w:val="ListParagraph"/>
              <w:numPr>
                <w:ilvl w:val="0"/>
                <w:numId w:val="3"/>
              </w:numPr>
              <w:spacing w:after="160" w:line="252" w:lineRule="auto"/>
              <w:jc w:val="both"/>
              <w:rPr>
                <w:rFonts w:ascii="Arial" w:hAnsi="Arial" w:cs="Arial"/>
              </w:rPr>
            </w:pPr>
            <w:r w:rsidRPr="00E7705A">
              <w:rPr>
                <w:rFonts w:ascii="Arial" w:hAnsi="Arial" w:cs="Arial"/>
              </w:rPr>
              <w:t xml:space="preserve">Funding support for emergency repairs up to $4.80 million </w:t>
            </w:r>
          </w:p>
          <w:p w:rsidR="00E7705A" w:rsidRDefault="00E7705A" w:rsidP="00E7705A">
            <w:pPr>
              <w:pStyle w:val="ListParagraph"/>
              <w:spacing w:after="160" w:line="252" w:lineRule="auto"/>
              <w:jc w:val="both"/>
              <w:rPr>
                <w:rFonts w:ascii="Arial" w:hAnsi="Arial" w:cs="Arial"/>
              </w:rPr>
            </w:pPr>
          </w:p>
          <w:p w:rsidR="00E7705A" w:rsidRPr="00E7705A" w:rsidRDefault="00E7705A" w:rsidP="00E7705A">
            <w:pPr>
              <w:pStyle w:val="ListParagraph"/>
              <w:numPr>
                <w:ilvl w:val="0"/>
                <w:numId w:val="3"/>
              </w:numPr>
              <w:spacing w:after="160" w:line="252" w:lineRule="auto"/>
              <w:jc w:val="both"/>
              <w:rPr>
                <w:rFonts w:ascii="Arial" w:hAnsi="Arial" w:cs="Arial"/>
              </w:rPr>
            </w:pPr>
            <w:r w:rsidRPr="00E7705A">
              <w:rPr>
                <w:rFonts w:ascii="Arial" w:hAnsi="Arial" w:cs="Arial"/>
              </w:rPr>
              <w:t>Delivery of a five year pipeline consisting of $3.90 million for investigations and up to $108.1 million for implementation (totalling $112.00 million), with construction scheduled to commence at year three (2020/21)</w:t>
            </w:r>
          </w:p>
          <w:p w:rsidR="00E7705A" w:rsidRDefault="00E7705A" w:rsidP="00E7705A">
            <w:pPr>
              <w:pStyle w:val="ListParagraph"/>
              <w:spacing w:after="160" w:line="252" w:lineRule="auto"/>
              <w:jc w:val="both"/>
              <w:rPr>
                <w:rFonts w:ascii="Arial" w:hAnsi="Arial" w:cs="Arial"/>
              </w:rPr>
            </w:pPr>
          </w:p>
          <w:p w:rsidR="0004127B" w:rsidRPr="009E5AF5" w:rsidRDefault="00E7705A" w:rsidP="009E5AF5">
            <w:pPr>
              <w:pStyle w:val="ListParagraph"/>
              <w:numPr>
                <w:ilvl w:val="0"/>
                <w:numId w:val="3"/>
              </w:numPr>
              <w:spacing w:after="160" w:line="252" w:lineRule="auto"/>
              <w:jc w:val="both"/>
              <w:rPr>
                <w:rFonts w:ascii="Arial" w:hAnsi="Arial" w:cs="Arial"/>
              </w:rPr>
            </w:pPr>
            <w:r w:rsidRPr="00E7705A">
              <w:rPr>
                <w:rFonts w:ascii="Arial" w:hAnsi="Arial" w:cs="Arial"/>
              </w:rPr>
              <w:t>Resource support up to $1.00 million.</w:t>
            </w:r>
          </w:p>
        </w:tc>
      </w:tr>
    </w:tbl>
    <w:p w:rsidR="009E5AF5" w:rsidRDefault="009E5AF5" w:rsidP="009E5AF5">
      <w:pPr>
        <w:rPr>
          <w:rFonts w:ascii="Arial" w:hAnsi="Arial" w:cs="Arial"/>
          <w:b/>
        </w:rPr>
      </w:pPr>
      <w:bookmarkStart w:id="0" w:name="_GoBack"/>
      <w:bookmarkEnd w:id="0"/>
    </w:p>
    <w:p w:rsidR="0092338D" w:rsidRDefault="0092338D" w:rsidP="0092338D">
      <w:pPr>
        <w:pStyle w:val="bodynumbered"/>
        <w:numPr>
          <w:ilvl w:val="0"/>
          <w:numId w:val="0"/>
        </w:numPr>
        <w:rPr>
          <w:rFonts w:ascii="Arial" w:hAnsi="Arial" w:cs="Arial"/>
          <w:b/>
          <w:bCs/>
          <w:sz w:val="22"/>
          <w:szCs w:val="22"/>
          <w:u w:val="single"/>
        </w:rPr>
      </w:pPr>
      <w:r w:rsidRPr="000F6717">
        <w:rPr>
          <w:rFonts w:ascii="Arial" w:hAnsi="Arial" w:cs="Arial"/>
          <w:b/>
          <w:bCs/>
          <w:sz w:val="22"/>
          <w:szCs w:val="22"/>
          <w:u w:val="single"/>
        </w:rPr>
        <w:t>Physical works</w:t>
      </w:r>
    </w:p>
    <w:tbl>
      <w:tblPr>
        <w:tblStyle w:val="TableGrid"/>
        <w:tblW w:w="9082" w:type="dxa"/>
        <w:tblInd w:w="-5" w:type="dxa"/>
        <w:tblLook w:val="04A0" w:firstRow="1" w:lastRow="0" w:firstColumn="1" w:lastColumn="0" w:noHBand="0" w:noVBand="1"/>
      </w:tblPr>
      <w:tblGrid>
        <w:gridCol w:w="3493"/>
        <w:gridCol w:w="5589"/>
      </w:tblGrid>
      <w:tr w:rsidR="0092338D" w:rsidTr="00682077">
        <w:trPr>
          <w:trHeight w:val="145"/>
        </w:trPr>
        <w:tc>
          <w:tcPr>
            <w:tcW w:w="3493" w:type="dxa"/>
          </w:tcPr>
          <w:p w:rsidR="0092338D" w:rsidRDefault="0092338D" w:rsidP="00682077">
            <w:pPr>
              <w:pStyle w:val="bodynumbered"/>
              <w:numPr>
                <w:ilvl w:val="0"/>
                <w:numId w:val="0"/>
              </w:numPr>
              <w:rPr>
                <w:rFonts w:ascii="Arial" w:hAnsi="Arial" w:cs="Arial"/>
                <w:b/>
                <w:bCs/>
                <w:sz w:val="22"/>
                <w:szCs w:val="22"/>
                <w:u w:val="single"/>
              </w:rPr>
            </w:pPr>
            <w:r>
              <w:rPr>
                <w:rFonts w:ascii="Arial" w:hAnsi="Arial" w:cs="Arial"/>
                <w:b/>
                <w:bCs/>
                <w:sz w:val="22"/>
                <w:szCs w:val="22"/>
                <w:u w:val="single"/>
              </w:rPr>
              <w:t>Project</w:t>
            </w:r>
          </w:p>
        </w:tc>
        <w:tc>
          <w:tcPr>
            <w:tcW w:w="5589" w:type="dxa"/>
          </w:tcPr>
          <w:p w:rsidR="0092338D" w:rsidRDefault="0092338D" w:rsidP="00682077">
            <w:pPr>
              <w:pStyle w:val="bodynumbered"/>
              <w:numPr>
                <w:ilvl w:val="0"/>
                <w:numId w:val="0"/>
              </w:numPr>
              <w:rPr>
                <w:rFonts w:ascii="Arial" w:hAnsi="Arial" w:cs="Arial"/>
                <w:b/>
                <w:bCs/>
                <w:sz w:val="22"/>
                <w:szCs w:val="22"/>
                <w:u w:val="single"/>
              </w:rPr>
            </w:pPr>
            <w:r>
              <w:rPr>
                <w:rFonts w:ascii="Arial" w:hAnsi="Arial" w:cs="Arial"/>
                <w:b/>
                <w:bCs/>
                <w:sz w:val="22"/>
                <w:szCs w:val="22"/>
                <w:u w:val="single"/>
              </w:rPr>
              <w:t>Description</w:t>
            </w:r>
          </w:p>
        </w:tc>
      </w:tr>
      <w:tr w:rsidR="0092338D" w:rsidTr="00682077">
        <w:trPr>
          <w:trHeight w:val="145"/>
        </w:trPr>
        <w:tc>
          <w:tcPr>
            <w:tcW w:w="3493" w:type="dxa"/>
          </w:tcPr>
          <w:p w:rsidR="0092338D" w:rsidRPr="00B815DC" w:rsidRDefault="0092338D" w:rsidP="00682077">
            <w:pPr>
              <w:pStyle w:val="bodynumbered"/>
              <w:numPr>
                <w:ilvl w:val="0"/>
                <w:numId w:val="0"/>
              </w:numPr>
              <w:spacing w:before="0" w:after="0" w:line="240" w:lineRule="auto"/>
              <w:rPr>
                <w:rFonts w:ascii="Arial" w:hAnsi="Arial" w:cs="Arial"/>
                <w:sz w:val="22"/>
                <w:szCs w:val="22"/>
              </w:rPr>
            </w:pPr>
            <w:r w:rsidRPr="000F6717">
              <w:rPr>
                <w:rFonts w:ascii="Arial" w:hAnsi="Arial" w:cs="Arial"/>
                <w:sz w:val="22"/>
                <w:szCs w:val="22"/>
              </w:rPr>
              <w:t xml:space="preserve">Improved local road level of service (resurfacing, strengthening, drainage, corner easing </w:t>
            </w:r>
            <w:proofErr w:type="spellStart"/>
            <w:r w:rsidRPr="000F6717">
              <w:rPr>
                <w:rFonts w:ascii="Arial" w:hAnsi="Arial" w:cs="Arial"/>
                <w:sz w:val="22"/>
                <w:szCs w:val="22"/>
              </w:rPr>
              <w:t>etc</w:t>
            </w:r>
            <w:proofErr w:type="spellEnd"/>
            <w:r w:rsidRPr="000F6717">
              <w:rPr>
                <w:rFonts w:ascii="Arial" w:hAnsi="Arial" w:cs="Arial"/>
                <w:sz w:val="22"/>
                <w:szCs w:val="22"/>
              </w:rPr>
              <w:t>)</w:t>
            </w:r>
          </w:p>
        </w:tc>
        <w:tc>
          <w:tcPr>
            <w:tcW w:w="5589" w:type="dxa"/>
          </w:tcPr>
          <w:p w:rsidR="0092338D" w:rsidRPr="00B815DC" w:rsidRDefault="0092338D" w:rsidP="00682077">
            <w:pPr>
              <w:pStyle w:val="bodynumbered"/>
              <w:numPr>
                <w:ilvl w:val="0"/>
                <w:numId w:val="0"/>
              </w:numPr>
              <w:spacing w:before="0" w:after="0" w:line="240" w:lineRule="auto"/>
              <w:rPr>
                <w:rFonts w:ascii="Arial" w:hAnsi="Arial" w:cs="Arial"/>
                <w:sz w:val="22"/>
                <w:szCs w:val="22"/>
              </w:rPr>
            </w:pPr>
            <w:r w:rsidRPr="000F6717">
              <w:rPr>
                <w:rFonts w:ascii="Arial" w:hAnsi="Arial" w:cs="Arial"/>
                <w:sz w:val="22"/>
                <w:szCs w:val="22"/>
              </w:rPr>
              <w:t>Improved level of service on the current road condition on journeys with significant freight movements. These are proactive maintenance-focused improvements that seek to provide a minimum level of service in line with future economic activity whilst improving access to key destinations identified by local communities.</w:t>
            </w:r>
          </w:p>
        </w:tc>
      </w:tr>
      <w:tr w:rsidR="0092338D" w:rsidTr="00682077">
        <w:trPr>
          <w:trHeight w:val="145"/>
        </w:trPr>
        <w:tc>
          <w:tcPr>
            <w:tcW w:w="3493" w:type="dxa"/>
          </w:tcPr>
          <w:p w:rsidR="0092338D" w:rsidRDefault="0092338D" w:rsidP="00682077">
            <w:pPr>
              <w:pStyle w:val="bodynumbered"/>
              <w:numPr>
                <w:ilvl w:val="0"/>
                <w:numId w:val="0"/>
              </w:numPr>
              <w:rPr>
                <w:rFonts w:ascii="Arial" w:hAnsi="Arial" w:cs="Arial"/>
                <w:b/>
                <w:bCs/>
                <w:sz w:val="22"/>
                <w:szCs w:val="22"/>
                <w:u w:val="single"/>
              </w:rPr>
            </w:pPr>
            <w:r w:rsidRPr="000F6717">
              <w:rPr>
                <w:rFonts w:ascii="Arial" w:hAnsi="Arial" w:cs="Arial"/>
                <w:sz w:val="22"/>
                <w:szCs w:val="22"/>
              </w:rPr>
              <w:t>Route security State Highway 35</w:t>
            </w:r>
          </w:p>
        </w:tc>
        <w:tc>
          <w:tcPr>
            <w:tcW w:w="5589" w:type="dxa"/>
          </w:tcPr>
          <w:p w:rsidR="0092338D" w:rsidRPr="0054449C" w:rsidRDefault="0092338D" w:rsidP="00682077">
            <w:pPr>
              <w:pStyle w:val="bodynumbered"/>
              <w:numPr>
                <w:ilvl w:val="0"/>
                <w:numId w:val="0"/>
              </w:numPr>
              <w:spacing w:before="0" w:after="0" w:line="240" w:lineRule="auto"/>
              <w:rPr>
                <w:rFonts w:ascii="Arial" w:hAnsi="Arial" w:cs="Arial"/>
                <w:sz w:val="22"/>
                <w:szCs w:val="22"/>
              </w:rPr>
            </w:pPr>
            <w:r w:rsidRPr="000F6717">
              <w:rPr>
                <w:rFonts w:ascii="Arial" w:hAnsi="Arial" w:cs="Arial"/>
                <w:sz w:val="22"/>
                <w:szCs w:val="22"/>
              </w:rPr>
              <w:t>Resilience improvements targeted at route security and network availability issues on State Highway 35.</w:t>
            </w:r>
          </w:p>
        </w:tc>
      </w:tr>
      <w:tr w:rsidR="0092338D" w:rsidTr="00682077">
        <w:trPr>
          <w:trHeight w:val="145"/>
        </w:trPr>
        <w:tc>
          <w:tcPr>
            <w:tcW w:w="3493" w:type="dxa"/>
          </w:tcPr>
          <w:p w:rsidR="0092338D" w:rsidRPr="000F6717" w:rsidRDefault="0092338D" w:rsidP="00682077">
            <w:pPr>
              <w:pStyle w:val="bodynumbered"/>
              <w:numPr>
                <w:ilvl w:val="0"/>
                <w:numId w:val="0"/>
              </w:numPr>
              <w:spacing w:before="0" w:after="0" w:line="240" w:lineRule="auto"/>
              <w:rPr>
                <w:rFonts w:ascii="Arial" w:hAnsi="Arial" w:cs="Arial"/>
                <w:sz w:val="22"/>
                <w:szCs w:val="22"/>
              </w:rPr>
            </w:pPr>
            <w:r w:rsidRPr="000F6717">
              <w:rPr>
                <w:rFonts w:ascii="Arial" w:hAnsi="Arial" w:cs="Arial"/>
                <w:sz w:val="22"/>
                <w:szCs w:val="22"/>
              </w:rPr>
              <w:t>Heavy Industrial Zone Upgrade</w:t>
            </w:r>
          </w:p>
          <w:p w:rsidR="0092338D" w:rsidRPr="000F6717" w:rsidRDefault="0092338D" w:rsidP="00682077">
            <w:pPr>
              <w:pStyle w:val="bodynumbered"/>
              <w:numPr>
                <w:ilvl w:val="0"/>
                <w:numId w:val="0"/>
              </w:numPr>
              <w:spacing w:before="0" w:after="0" w:line="240" w:lineRule="auto"/>
              <w:rPr>
                <w:rFonts w:ascii="Arial" w:hAnsi="Arial" w:cs="Arial"/>
                <w:sz w:val="22"/>
                <w:szCs w:val="22"/>
              </w:rPr>
            </w:pPr>
            <w:r w:rsidRPr="000F6717">
              <w:rPr>
                <w:rFonts w:ascii="Arial" w:hAnsi="Arial" w:cs="Arial"/>
                <w:sz w:val="22"/>
                <w:szCs w:val="22"/>
              </w:rPr>
              <w:t>(focus on MacDonald, Dunstan and Aerodrome Roads)</w:t>
            </w:r>
          </w:p>
        </w:tc>
        <w:tc>
          <w:tcPr>
            <w:tcW w:w="5589" w:type="dxa"/>
          </w:tcPr>
          <w:p w:rsidR="0092338D" w:rsidRPr="000F6717" w:rsidRDefault="0092338D" w:rsidP="00682077">
            <w:pPr>
              <w:pStyle w:val="bodynumbered"/>
              <w:numPr>
                <w:ilvl w:val="0"/>
                <w:numId w:val="0"/>
              </w:numPr>
              <w:spacing w:before="0" w:after="0" w:line="240" w:lineRule="auto"/>
              <w:rPr>
                <w:rFonts w:ascii="Arial" w:hAnsi="Arial" w:cs="Arial"/>
                <w:sz w:val="22"/>
                <w:szCs w:val="22"/>
              </w:rPr>
            </w:pPr>
            <w:r w:rsidRPr="000F6717">
              <w:rPr>
                <w:rFonts w:ascii="Arial" w:hAnsi="Arial" w:cs="Arial"/>
                <w:sz w:val="22"/>
                <w:szCs w:val="22"/>
              </w:rPr>
              <w:t xml:space="preserve">Improvements to surface condition and level of service in response to current and future demands associated with intensified economic activity. Improvements include strengthening and widening the road to support increasing freight volumes.  </w:t>
            </w:r>
          </w:p>
        </w:tc>
      </w:tr>
      <w:tr w:rsidR="0092338D" w:rsidTr="00682077">
        <w:trPr>
          <w:trHeight w:val="145"/>
        </w:trPr>
        <w:tc>
          <w:tcPr>
            <w:tcW w:w="3493" w:type="dxa"/>
          </w:tcPr>
          <w:p w:rsidR="0092338D" w:rsidRPr="000F6717" w:rsidRDefault="0092338D" w:rsidP="00682077">
            <w:pPr>
              <w:pStyle w:val="bodynumbered"/>
              <w:numPr>
                <w:ilvl w:val="0"/>
                <w:numId w:val="0"/>
              </w:numPr>
              <w:spacing w:before="0" w:after="0" w:line="240" w:lineRule="auto"/>
              <w:rPr>
                <w:rFonts w:ascii="Arial" w:hAnsi="Arial" w:cs="Arial"/>
                <w:sz w:val="22"/>
                <w:szCs w:val="22"/>
              </w:rPr>
            </w:pPr>
            <w:proofErr w:type="spellStart"/>
            <w:r w:rsidRPr="000F6717">
              <w:rPr>
                <w:rFonts w:ascii="Arial" w:hAnsi="Arial" w:cs="Arial"/>
                <w:sz w:val="22"/>
                <w:szCs w:val="22"/>
              </w:rPr>
              <w:t>Rakaiatane</w:t>
            </w:r>
            <w:proofErr w:type="spellEnd"/>
            <w:r w:rsidRPr="000F6717">
              <w:rPr>
                <w:rFonts w:ascii="Arial" w:hAnsi="Arial" w:cs="Arial"/>
                <w:sz w:val="22"/>
                <w:szCs w:val="22"/>
              </w:rPr>
              <w:t xml:space="preserve"> Road Upgrade (road to Eastland Port)</w:t>
            </w:r>
          </w:p>
        </w:tc>
        <w:tc>
          <w:tcPr>
            <w:tcW w:w="5589" w:type="dxa"/>
          </w:tcPr>
          <w:p w:rsidR="0092338D" w:rsidRPr="000F6717" w:rsidRDefault="0092338D" w:rsidP="00682077">
            <w:pPr>
              <w:pStyle w:val="bodynumbered"/>
              <w:numPr>
                <w:ilvl w:val="0"/>
                <w:numId w:val="0"/>
              </w:numPr>
              <w:spacing w:before="0" w:after="0" w:line="240" w:lineRule="auto"/>
              <w:rPr>
                <w:rFonts w:ascii="Arial" w:hAnsi="Arial" w:cs="Arial"/>
                <w:sz w:val="22"/>
                <w:szCs w:val="22"/>
              </w:rPr>
            </w:pPr>
            <w:r w:rsidRPr="000F6717">
              <w:rPr>
                <w:rFonts w:ascii="Arial" w:hAnsi="Arial" w:cs="Arial"/>
                <w:sz w:val="22"/>
                <w:szCs w:val="22"/>
              </w:rPr>
              <w:t xml:space="preserve">Strengthening the road to support increasing freight volumes </w:t>
            </w:r>
            <w:r>
              <w:rPr>
                <w:rFonts w:ascii="Arial" w:hAnsi="Arial" w:cs="Arial"/>
                <w:sz w:val="22"/>
                <w:szCs w:val="22"/>
              </w:rPr>
              <w:t xml:space="preserve">and </w:t>
            </w:r>
            <w:r w:rsidRPr="000F6717">
              <w:rPr>
                <w:rFonts w:ascii="Arial" w:hAnsi="Arial" w:cs="Arial"/>
                <w:sz w:val="22"/>
                <w:szCs w:val="22"/>
              </w:rPr>
              <w:t>responding to current and future demands associated with intensified economic activity.</w:t>
            </w:r>
          </w:p>
        </w:tc>
      </w:tr>
      <w:tr w:rsidR="0092338D" w:rsidTr="00682077">
        <w:trPr>
          <w:trHeight w:val="145"/>
        </w:trPr>
        <w:tc>
          <w:tcPr>
            <w:tcW w:w="3493" w:type="dxa"/>
          </w:tcPr>
          <w:p w:rsidR="0092338D" w:rsidRPr="000F6717" w:rsidRDefault="0092338D" w:rsidP="00682077">
            <w:pPr>
              <w:pStyle w:val="bodynumbered"/>
              <w:numPr>
                <w:ilvl w:val="0"/>
                <w:numId w:val="0"/>
              </w:numPr>
              <w:spacing w:before="0" w:after="0" w:line="240" w:lineRule="auto"/>
              <w:rPr>
                <w:rFonts w:ascii="Arial" w:hAnsi="Arial" w:cs="Arial"/>
                <w:sz w:val="22"/>
                <w:szCs w:val="22"/>
              </w:rPr>
            </w:pPr>
            <w:r w:rsidRPr="000F6717">
              <w:rPr>
                <w:rFonts w:ascii="Arial" w:hAnsi="Arial" w:cs="Arial"/>
                <w:sz w:val="22"/>
                <w:szCs w:val="22"/>
              </w:rPr>
              <w:t>East Cape Road sealing the first 1.6km</w:t>
            </w:r>
          </w:p>
        </w:tc>
        <w:tc>
          <w:tcPr>
            <w:tcW w:w="5589" w:type="dxa"/>
          </w:tcPr>
          <w:p w:rsidR="0092338D" w:rsidRPr="000F6717" w:rsidRDefault="0092338D" w:rsidP="00682077">
            <w:pPr>
              <w:pStyle w:val="bodynumbered"/>
              <w:numPr>
                <w:ilvl w:val="0"/>
                <w:numId w:val="0"/>
              </w:numPr>
              <w:spacing w:before="0" w:after="0" w:line="240" w:lineRule="auto"/>
              <w:rPr>
                <w:rFonts w:ascii="Arial" w:hAnsi="Arial" w:cs="Arial"/>
                <w:sz w:val="22"/>
                <w:szCs w:val="22"/>
              </w:rPr>
            </w:pPr>
            <w:r w:rsidRPr="000F6717">
              <w:rPr>
                <w:rFonts w:ascii="Arial" w:hAnsi="Arial" w:cs="Arial"/>
                <w:sz w:val="22"/>
                <w:szCs w:val="22"/>
              </w:rPr>
              <w:t>Sealing 1.6km to provide a consistent level of service between existing sealed sections of East Cape Road to support improved access for the community.</w:t>
            </w:r>
          </w:p>
        </w:tc>
      </w:tr>
      <w:tr w:rsidR="0092338D" w:rsidTr="00682077">
        <w:trPr>
          <w:trHeight w:val="145"/>
        </w:trPr>
        <w:tc>
          <w:tcPr>
            <w:tcW w:w="3493" w:type="dxa"/>
          </w:tcPr>
          <w:p w:rsidR="0092338D" w:rsidRPr="000F6717" w:rsidRDefault="0092338D" w:rsidP="00682077">
            <w:pPr>
              <w:pStyle w:val="bodynumbered"/>
              <w:numPr>
                <w:ilvl w:val="0"/>
                <w:numId w:val="0"/>
              </w:numPr>
              <w:spacing w:before="0" w:after="0" w:line="240" w:lineRule="auto"/>
              <w:rPr>
                <w:rFonts w:ascii="Arial" w:hAnsi="Arial" w:cs="Arial"/>
                <w:sz w:val="22"/>
                <w:szCs w:val="22"/>
              </w:rPr>
            </w:pPr>
            <w:r w:rsidRPr="000F6717">
              <w:rPr>
                <w:rFonts w:ascii="Arial" w:hAnsi="Arial" w:cs="Arial"/>
                <w:sz w:val="22"/>
                <w:szCs w:val="22"/>
              </w:rPr>
              <w:t>Route security (focus on local roads)</w:t>
            </w:r>
          </w:p>
        </w:tc>
        <w:tc>
          <w:tcPr>
            <w:tcW w:w="5589" w:type="dxa"/>
          </w:tcPr>
          <w:p w:rsidR="0092338D" w:rsidRPr="000F6717" w:rsidRDefault="0092338D" w:rsidP="00682077">
            <w:pPr>
              <w:rPr>
                <w:rFonts w:ascii="Arial" w:hAnsi="Arial" w:cs="Arial"/>
                <w:sz w:val="22"/>
                <w:szCs w:val="22"/>
              </w:rPr>
            </w:pPr>
            <w:r w:rsidRPr="000F6717">
              <w:rPr>
                <w:rFonts w:ascii="Arial" w:hAnsi="Arial" w:cs="Arial"/>
                <w:sz w:val="22"/>
                <w:szCs w:val="22"/>
              </w:rPr>
              <w:t>Resilience improvements targeted at structural issues that could be progressed now.</w:t>
            </w:r>
          </w:p>
        </w:tc>
      </w:tr>
      <w:tr w:rsidR="0092338D" w:rsidTr="00682077">
        <w:trPr>
          <w:trHeight w:val="145"/>
        </w:trPr>
        <w:tc>
          <w:tcPr>
            <w:tcW w:w="3493" w:type="dxa"/>
          </w:tcPr>
          <w:p w:rsidR="0092338D" w:rsidRPr="000F6717" w:rsidRDefault="0092338D" w:rsidP="00682077">
            <w:pPr>
              <w:pStyle w:val="bodynumbered"/>
              <w:numPr>
                <w:ilvl w:val="0"/>
                <w:numId w:val="0"/>
              </w:numPr>
              <w:spacing w:before="0" w:after="0" w:line="240" w:lineRule="auto"/>
              <w:rPr>
                <w:rFonts w:ascii="Arial" w:hAnsi="Arial" w:cs="Arial"/>
                <w:sz w:val="22"/>
                <w:szCs w:val="22"/>
              </w:rPr>
            </w:pPr>
            <w:r w:rsidRPr="000F6717">
              <w:rPr>
                <w:rFonts w:ascii="Arial" w:hAnsi="Arial" w:cs="Arial"/>
                <w:sz w:val="22"/>
                <w:szCs w:val="22"/>
              </w:rPr>
              <w:t>50 MAX</w:t>
            </w:r>
            <w:r>
              <w:rPr>
                <w:rFonts w:ascii="Arial" w:hAnsi="Arial" w:cs="Arial"/>
                <w:sz w:val="22"/>
                <w:szCs w:val="22"/>
              </w:rPr>
              <w:t xml:space="preserve"> improvements</w:t>
            </w:r>
          </w:p>
        </w:tc>
        <w:tc>
          <w:tcPr>
            <w:tcW w:w="5589" w:type="dxa"/>
          </w:tcPr>
          <w:p w:rsidR="0092338D" w:rsidRPr="000F6717" w:rsidRDefault="0092338D" w:rsidP="00682077">
            <w:pPr>
              <w:pStyle w:val="bodynumbered"/>
              <w:numPr>
                <w:ilvl w:val="0"/>
                <w:numId w:val="0"/>
              </w:numPr>
              <w:spacing w:before="0" w:after="0" w:line="240" w:lineRule="auto"/>
              <w:rPr>
                <w:rFonts w:ascii="Arial" w:hAnsi="Arial" w:cs="Arial"/>
                <w:sz w:val="22"/>
                <w:szCs w:val="22"/>
              </w:rPr>
            </w:pPr>
            <w:r w:rsidRPr="000F6717">
              <w:rPr>
                <w:rFonts w:ascii="Arial" w:hAnsi="Arial" w:cs="Arial"/>
                <w:sz w:val="22"/>
                <w:szCs w:val="22"/>
              </w:rPr>
              <w:t>Local network efficiency improvements through enabling 50MAX bridge capability on economically active corridors within the region (including local road network).</w:t>
            </w:r>
          </w:p>
        </w:tc>
      </w:tr>
      <w:tr w:rsidR="0092338D" w:rsidTr="00682077">
        <w:trPr>
          <w:trHeight w:val="145"/>
        </w:trPr>
        <w:tc>
          <w:tcPr>
            <w:tcW w:w="3493" w:type="dxa"/>
          </w:tcPr>
          <w:p w:rsidR="0092338D" w:rsidRPr="000F6717" w:rsidRDefault="0092338D" w:rsidP="00682077">
            <w:pPr>
              <w:pStyle w:val="bodynumbered"/>
              <w:numPr>
                <w:ilvl w:val="0"/>
                <w:numId w:val="0"/>
              </w:numPr>
              <w:spacing w:before="0" w:after="0" w:line="240" w:lineRule="auto"/>
              <w:rPr>
                <w:rFonts w:ascii="Arial" w:hAnsi="Arial" w:cs="Arial"/>
                <w:sz w:val="22"/>
                <w:szCs w:val="22"/>
              </w:rPr>
            </w:pPr>
            <w:proofErr w:type="spellStart"/>
            <w:r w:rsidRPr="000F6717">
              <w:rPr>
                <w:rFonts w:ascii="Arial" w:hAnsi="Arial" w:cs="Arial"/>
                <w:sz w:val="22"/>
                <w:szCs w:val="22"/>
              </w:rPr>
              <w:t>Makokomuku</w:t>
            </w:r>
            <w:proofErr w:type="spellEnd"/>
            <w:r w:rsidRPr="000F6717">
              <w:rPr>
                <w:rFonts w:ascii="Arial" w:hAnsi="Arial" w:cs="Arial"/>
                <w:sz w:val="22"/>
                <w:szCs w:val="22"/>
              </w:rPr>
              <w:t xml:space="preserve"> single lane bridge replacement</w:t>
            </w:r>
          </w:p>
          <w:p w:rsidR="0092338D" w:rsidRPr="000F6717" w:rsidRDefault="0092338D" w:rsidP="00682077">
            <w:pPr>
              <w:pStyle w:val="bodynumbered"/>
              <w:numPr>
                <w:ilvl w:val="0"/>
                <w:numId w:val="0"/>
              </w:numPr>
              <w:spacing w:before="0" w:after="0" w:line="240" w:lineRule="auto"/>
              <w:rPr>
                <w:rFonts w:ascii="Arial" w:hAnsi="Arial" w:cs="Arial"/>
                <w:sz w:val="22"/>
                <w:szCs w:val="22"/>
              </w:rPr>
            </w:pPr>
          </w:p>
        </w:tc>
        <w:tc>
          <w:tcPr>
            <w:tcW w:w="5589" w:type="dxa"/>
          </w:tcPr>
          <w:p w:rsidR="0092338D" w:rsidRPr="000F6717" w:rsidRDefault="0092338D" w:rsidP="00682077">
            <w:pPr>
              <w:pStyle w:val="bodynumbered"/>
              <w:numPr>
                <w:ilvl w:val="0"/>
                <w:numId w:val="0"/>
              </w:numPr>
              <w:spacing w:before="0" w:after="0" w:line="240" w:lineRule="auto"/>
              <w:rPr>
                <w:rFonts w:ascii="Arial" w:hAnsi="Arial" w:cs="Arial"/>
                <w:sz w:val="22"/>
                <w:szCs w:val="22"/>
              </w:rPr>
            </w:pPr>
            <w:r w:rsidRPr="000F6717">
              <w:rPr>
                <w:rFonts w:ascii="Arial" w:hAnsi="Arial" w:cs="Arial"/>
                <w:sz w:val="22"/>
                <w:szCs w:val="22"/>
              </w:rPr>
              <w:t>Responding to the ongoing maintenance, resilience and inefficiencies associated with two single lane bridges and one dual lane bridge.</w:t>
            </w:r>
          </w:p>
        </w:tc>
      </w:tr>
      <w:tr w:rsidR="0092338D" w:rsidTr="00682077">
        <w:trPr>
          <w:trHeight w:val="145"/>
        </w:trPr>
        <w:tc>
          <w:tcPr>
            <w:tcW w:w="3493" w:type="dxa"/>
          </w:tcPr>
          <w:p w:rsidR="0092338D" w:rsidRPr="000F6717" w:rsidRDefault="0092338D" w:rsidP="00682077">
            <w:pPr>
              <w:pStyle w:val="bodynumbered"/>
              <w:numPr>
                <w:ilvl w:val="0"/>
                <w:numId w:val="0"/>
              </w:numPr>
              <w:spacing w:before="0" w:after="0" w:line="240" w:lineRule="auto"/>
              <w:rPr>
                <w:rFonts w:ascii="Arial" w:hAnsi="Arial" w:cs="Arial"/>
                <w:sz w:val="22"/>
                <w:szCs w:val="22"/>
              </w:rPr>
            </w:pPr>
            <w:r w:rsidRPr="000F6717">
              <w:rPr>
                <w:rFonts w:ascii="Arial" w:hAnsi="Arial" w:cs="Arial"/>
                <w:sz w:val="22"/>
                <w:szCs w:val="22"/>
              </w:rPr>
              <w:t>Full High Productivity Motor Vehicle (HPMV) access - Napier to Gisborne</w:t>
            </w:r>
          </w:p>
        </w:tc>
        <w:tc>
          <w:tcPr>
            <w:tcW w:w="5589" w:type="dxa"/>
          </w:tcPr>
          <w:p w:rsidR="0092338D" w:rsidRPr="000F6717" w:rsidRDefault="0092338D" w:rsidP="00682077">
            <w:pPr>
              <w:pStyle w:val="bodynumbered"/>
              <w:numPr>
                <w:ilvl w:val="0"/>
                <w:numId w:val="0"/>
              </w:numPr>
              <w:spacing w:before="0" w:after="0" w:line="240" w:lineRule="auto"/>
              <w:rPr>
                <w:rFonts w:ascii="Arial" w:hAnsi="Arial" w:cs="Arial"/>
                <w:sz w:val="22"/>
                <w:szCs w:val="22"/>
              </w:rPr>
            </w:pPr>
            <w:r w:rsidRPr="000F6717">
              <w:rPr>
                <w:rFonts w:ascii="Arial" w:hAnsi="Arial" w:cs="Arial"/>
                <w:sz w:val="22"/>
                <w:szCs w:val="22"/>
              </w:rPr>
              <w:t xml:space="preserve">State highway bridges and culverts upgraded to support HPMV.  </w:t>
            </w:r>
          </w:p>
        </w:tc>
      </w:tr>
      <w:tr w:rsidR="0092338D" w:rsidTr="00682077">
        <w:trPr>
          <w:trHeight w:val="145"/>
        </w:trPr>
        <w:tc>
          <w:tcPr>
            <w:tcW w:w="3493" w:type="dxa"/>
          </w:tcPr>
          <w:p w:rsidR="0092338D" w:rsidRPr="000F6717" w:rsidRDefault="0092338D" w:rsidP="00682077">
            <w:pPr>
              <w:pStyle w:val="bodynumbered"/>
              <w:numPr>
                <w:ilvl w:val="0"/>
                <w:numId w:val="0"/>
              </w:numPr>
              <w:spacing w:before="0" w:after="0" w:line="240" w:lineRule="auto"/>
              <w:rPr>
                <w:rFonts w:ascii="Arial" w:hAnsi="Arial" w:cs="Arial"/>
                <w:sz w:val="22"/>
                <w:szCs w:val="22"/>
              </w:rPr>
            </w:pPr>
            <w:r w:rsidRPr="000F6717">
              <w:rPr>
                <w:rFonts w:ascii="Arial" w:hAnsi="Arial" w:cs="Arial"/>
                <w:sz w:val="22"/>
                <w:szCs w:val="22"/>
              </w:rPr>
              <w:t xml:space="preserve">Full High Productivity Motor Vehicle (HPMV) access - Gisborne to </w:t>
            </w:r>
            <w:proofErr w:type="spellStart"/>
            <w:r w:rsidRPr="000F6717">
              <w:rPr>
                <w:rFonts w:ascii="Arial" w:hAnsi="Arial" w:cs="Arial"/>
                <w:sz w:val="22"/>
                <w:szCs w:val="22"/>
              </w:rPr>
              <w:t>Opotiki</w:t>
            </w:r>
            <w:proofErr w:type="spellEnd"/>
          </w:p>
        </w:tc>
        <w:tc>
          <w:tcPr>
            <w:tcW w:w="5589" w:type="dxa"/>
          </w:tcPr>
          <w:p w:rsidR="0092338D" w:rsidRPr="000F6717" w:rsidRDefault="0092338D" w:rsidP="00682077">
            <w:pPr>
              <w:pStyle w:val="bodynumbered"/>
              <w:numPr>
                <w:ilvl w:val="0"/>
                <w:numId w:val="0"/>
              </w:numPr>
              <w:spacing w:before="0" w:after="0" w:line="240" w:lineRule="auto"/>
              <w:rPr>
                <w:rFonts w:ascii="Arial" w:hAnsi="Arial" w:cs="Arial"/>
                <w:sz w:val="22"/>
                <w:szCs w:val="22"/>
              </w:rPr>
            </w:pPr>
            <w:r w:rsidRPr="000F6717">
              <w:rPr>
                <w:rFonts w:ascii="Arial" w:hAnsi="Arial" w:cs="Arial"/>
                <w:sz w:val="22"/>
                <w:szCs w:val="22"/>
              </w:rPr>
              <w:t xml:space="preserve">State highway bridges and culverts upgraded to support HPMV.  </w:t>
            </w:r>
          </w:p>
        </w:tc>
      </w:tr>
    </w:tbl>
    <w:p w:rsidR="0092338D" w:rsidRDefault="0092338D" w:rsidP="0092338D">
      <w:pPr>
        <w:rPr>
          <w:rFonts w:ascii="Arial" w:hAnsi="Arial" w:cs="Arial"/>
          <w:b/>
          <w:bCs/>
        </w:rPr>
      </w:pPr>
    </w:p>
    <w:p w:rsidR="0092338D" w:rsidRDefault="0092338D" w:rsidP="0092338D">
      <w:pPr>
        <w:spacing w:after="200" w:line="276" w:lineRule="auto"/>
        <w:rPr>
          <w:rFonts w:ascii="Arial" w:eastAsia="Times New Roman" w:hAnsi="Arial" w:cs="Arial"/>
          <w:b/>
          <w:bCs/>
          <w:u w:val="single"/>
          <w:lang w:eastAsia="en-GB"/>
        </w:rPr>
      </w:pPr>
      <w:r>
        <w:rPr>
          <w:rFonts w:ascii="Arial" w:hAnsi="Arial" w:cs="Arial"/>
          <w:b/>
          <w:bCs/>
          <w:u w:val="single"/>
        </w:rPr>
        <w:br w:type="page"/>
      </w:r>
    </w:p>
    <w:p w:rsidR="0092338D" w:rsidRPr="000F6717" w:rsidRDefault="0092338D" w:rsidP="0092338D">
      <w:pPr>
        <w:pStyle w:val="bodynumbered"/>
        <w:numPr>
          <w:ilvl w:val="0"/>
          <w:numId w:val="0"/>
        </w:numPr>
        <w:ind w:left="360" w:hanging="360"/>
        <w:rPr>
          <w:rFonts w:ascii="Arial" w:hAnsi="Arial" w:cs="Arial"/>
          <w:b/>
          <w:bCs/>
          <w:sz w:val="22"/>
          <w:szCs w:val="22"/>
          <w:u w:val="single"/>
        </w:rPr>
      </w:pPr>
      <w:r w:rsidRPr="000F6717">
        <w:rPr>
          <w:rFonts w:ascii="Arial" w:hAnsi="Arial" w:cs="Arial"/>
          <w:b/>
          <w:bCs/>
          <w:sz w:val="22"/>
          <w:szCs w:val="22"/>
          <w:u w:val="single"/>
        </w:rPr>
        <w:lastRenderedPageBreak/>
        <w:t>Five year pipeline</w:t>
      </w:r>
    </w:p>
    <w:p w:rsidR="0092338D" w:rsidRPr="000F6717" w:rsidRDefault="0092338D" w:rsidP="0092338D">
      <w:pPr>
        <w:rPr>
          <w:rFonts w:ascii="Arial" w:hAnsi="Arial" w:cs="Arial"/>
        </w:rPr>
      </w:pPr>
    </w:p>
    <w:tbl>
      <w:tblPr>
        <w:tblStyle w:val="TableGrid"/>
        <w:tblW w:w="9069" w:type="dxa"/>
        <w:tblInd w:w="-5" w:type="dxa"/>
        <w:tblLook w:val="04A0" w:firstRow="1" w:lastRow="0" w:firstColumn="1" w:lastColumn="0" w:noHBand="0" w:noVBand="1"/>
      </w:tblPr>
      <w:tblGrid>
        <w:gridCol w:w="3488"/>
        <w:gridCol w:w="5581"/>
      </w:tblGrid>
      <w:tr w:rsidR="0092338D" w:rsidTr="00682077">
        <w:trPr>
          <w:trHeight w:val="529"/>
        </w:trPr>
        <w:tc>
          <w:tcPr>
            <w:tcW w:w="3488" w:type="dxa"/>
          </w:tcPr>
          <w:p w:rsidR="0092338D" w:rsidRDefault="0092338D" w:rsidP="00682077">
            <w:pPr>
              <w:pStyle w:val="bodynumbered"/>
              <w:numPr>
                <w:ilvl w:val="0"/>
                <w:numId w:val="0"/>
              </w:numPr>
              <w:rPr>
                <w:rFonts w:ascii="Arial" w:hAnsi="Arial" w:cs="Arial"/>
                <w:b/>
                <w:bCs/>
                <w:sz w:val="22"/>
                <w:szCs w:val="22"/>
                <w:u w:val="single"/>
              </w:rPr>
            </w:pPr>
            <w:r>
              <w:rPr>
                <w:rFonts w:ascii="Arial" w:hAnsi="Arial" w:cs="Arial"/>
                <w:b/>
                <w:bCs/>
                <w:sz w:val="22"/>
                <w:szCs w:val="22"/>
                <w:u w:val="single"/>
              </w:rPr>
              <w:t>Project</w:t>
            </w:r>
          </w:p>
        </w:tc>
        <w:tc>
          <w:tcPr>
            <w:tcW w:w="5581" w:type="dxa"/>
          </w:tcPr>
          <w:p w:rsidR="0092338D" w:rsidRDefault="0092338D" w:rsidP="00682077">
            <w:pPr>
              <w:pStyle w:val="bodynumbered"/>
              <w:numPr>
                <w:ilvl w:val="0"/>
                <w:numId w:val="0"/>
              </w:numPr>
              <w:rPr>
                <w:rFonts w:ascii="Arial" w:hAnsi="Arial" w:cs="Arial"/>
                <w:b/>
                <w:bCs/>
                <w:sz w:val="22"/>
                <w:szCs w:val="22"/>
                <w:u w:val="single"/>
              </w:rPr>
            </w:pPr>
            <w:r>
              <w:rPr>
                <w:rFonts w:ascii="Arial" w:hAnsi="Arial" w:cs="Arial"/>
                <w:b/>
                <w:bCs/>
                <w:sz w:val="22"/>
                <w:szCs w:val="22"/>
                <w:u w:val="single"/>
              </w:rPr>
              <w:t>Description</w:t>
            </w:r>
          </w:p>
        </w:tc>
      </w:tr>
      <w:tr w:rsidR="0092338D" w:rsidTr="00682077">
        <w:trPr>
          <w:trHeight w:val="1354"/>
        </w:trPr>
        <w:tc>
          <w:tcPr>
            <w:tcW w:w="3488" w:type="dxa"/>
          </w:tcPr>
          <w:p w:rsidR="0092338D" w:rsidRPr="00B815DC" w:rsidRDefault="0092338D" w:rsidP="00682077">
            <w:pPr>
              <w:pStyle w:val="bodynumbered"/>
              <w:numPr>
                <w:ilvl w:val="0"/>
                <w:numId w:val="0"/>
              </w:numPr>
              <w:spacing w:before="0" w:after="0" w:line="240" w:lineRule="auto"/>
              <w:rPr>
                <w:rFonts w:ascii="Arial" w:hAnsi="Arial" w:cs="Arial"/>
                <w:sz w:val="22"/>
                <w:szCs w:val="22"/>
              </w:rPr>
            </w:pPr>
            <w:r w:rsidRPr="000F6717">
              <w:rPr>
                <w:rFonts w:ascii="Arial" w:hAnsi="Arial" w:cs="Arial"/>
                <w:sz w:val="22"/>
                <w:szCs w:val="22"/>
              </w:rPr>
              <w:t xml:space="preserve">Route Security: </w:t>
            </w:r>
            <w:proofErr w:type="spellStart"/>
            <w:r w:rsidRPr="000F6717">
              <w:rPr>
                <w:rFonts w:ascii="Arial" w:hAnsi="Arial" w:cs="Arial"/>
                <w:sz w:val="22"/>
                <w:szCs w:val="22"/>
              </w:rPr>
              <w:t>Tiniroto</w:t>
            </w:r>
            <w:proofErr w:type="spellEnd"/>
            <w:r w:rsidRPr="000F6717">
              <w:rPr>
                <w:rFonts w:ascii="Arial" w:hAnsi="Arial" w:cs="Arial"/>
                <w:sz w:val="22"/>
                <w:szCs w:val="22"/>
              </w:rPr>
              <w:t xml:space="preserve"> Road </w:t>
            </w:r>
          </w:p>
        </w:tc>
        <w:tc>
          <w:tcPr>
            <w:tcW w:w="5581" w:type="dxa"/>
          </w:tcPr>
          <w:p w:rsidR="0092338D" w:rsidRPr="00B815DC" w:rsidRDefault="0092338D" w:rsidP="00682077">
            <w:pPr>
              <w:pStyle w:val="bodynumbered"/>
              <w:numPr>
                <w:ilvl w:val="0"/>
                <w:numId w:val="0"/>
              </w:numPr>
              <w:spacing w:before="0" w:after="0" w:line="240" w:lineRule="auto"/>
              <w:rPr>
                <w:rFonts w:ascii="Arial" w:hAnsi="Arial" w:cs="Arial"/>
                <w:sz w:val="22"/>
                <w:szCs w:val="22"/>
              </w:rPr>
            </w:pPr>
            <w:r>
              <w:rPr>
                <w:rFonts w:ascii="Arial" w:hAnsi="Arial" w:cs="Arial"/>
                <w:sz w:val="22"/>
                <w:szCs w:val="22"/>
              </w:rPr>
              <w:t>R</w:t>
            </w:r>
            <w:r w:rsidRPr="000F6717">
              <w:rPr>
                <w:rFonts w:ascii="Arial" w:hAnsi="Arial" w:cs="Arial"/>
                <w:sz w:val="22"/>
                <w:szCs w:val="22"/>
              </w:rPr>
              <w:t xml:space="preserve">esilience improvements targeted at route security and network availability issues on </w:t>
            </w:r>
            <w:proofErr w:type="spellStart"/>
            <w:r w:rsidRPr="000F6717">
              <w:rPr>
                <w:rFonts w:ascii="Arial" w:hAnsi="Arial" w:cs="Arial"/>
                <w:sz w:val="22"/>
                <w:szCs w:val="22"/>
              </w:rPr>
              <w:t>Tiniroto</w:t>
            </w:r>
            <w:proofErr w:type="spellEnd"/>
            <w:r w:rsidRPr="000F6717">
              <w:rPr>
                <w:rFonts w:ascii="Arial" w:hAnsi="Arial" w:cs="Arial"/>
                <w:sz w:val="22"/>
                <w:szCs w:val="22"/>
              </w:rPr>
              <w:t xml:space="preserve"> Road to deliver improved a</w:t>
            </w:r>
            <w:r>
              <w:rPr>
                <w:rFonts w:ascii="Arial" w:hAnsi="Arial" w:cs="Arial"/>
                <w:sz w:val="22"/>
                <w:szCs w:val="22"/>
              </w:rPr>
              <w:t>cc</w:t>
            </w:r>
            <w:r w:rsidRPr="000F6717">
              <w:rPr>
                <w:rFonts w:ascii="Arial" w:hAnsi="Arial" w:cs="Arial"/>
                <w:sz w:val="22"/>
                <w:szCs w:val="22"/>
              </w:rPr>
              <w:t>ess to isolated communities and improved inter-regional resilience providing a more reliable alternative route.</w:t>
            </w:r>
          </w:p>
        </w:tc>
      </w:tr>
      <w:tr w:rsidR="0092338D" w:rsidTr="00682077">
        <w:trPr>
          <w:trHeight w:val="834"/>
        </w:trPr>
        <w:tc>
          <w:tcPr>
            <w:tcW w:w="3488" w:type="dxa"/>
          </w:tcPr>
          <w:p w:rsidR="0092338D" w:rsidRPr="00B815DC" w:rsidRDefault="0092338D" w:rsidP="00682077">
            <w:pPr>
              <w:pStyle w:val="bodynumbered"/>
              <w:numPr>
                <w:ilvl w:val="0"/>
                <w:numId w:val="0"/>
              </w:numPr>
              <w:spacing w:before="0" w:after="0" w:line="240" w:lineRule="auto"/>
              <w:rPr>
                <w:rFonts w:ascii="Arial" w:hAnsi="Arial" w:cs="Arial"/>
                <w:sz w:val="22"/>
                <w:szCs w:val="22"/>
              </w:rPr>
            </w:pPr>
            <w:r w:rsidRPr="000F6717">
              <w:rPr>
                <w:rFonts w:ascii="Arial" w:hAnsi="Arial" w:cs="Arial"/>
                <w:sz w:val="22"/>
                <w:szCs w:val="22"/>
              </w:rPr>
              <w:t>The Kings Road/Harper Road local road upgrade</w:t>
            </w:r>
          </w:p>
        </w:tc>
        <w:tc>
          <w:tcPr>
            <w:tcW w:w="5581" w:type="dxa"/>
          </w:tcPr>
          <w:p w:rsidR="0092338D" w:rsidRPr="00B815DC" w:rsidRDefault="0092338D" w:rsidP="00682077">
            <w:pPr>
              <w:pStyle w:val="bodynumbered"/>
              <w:numPr>
                <w:ilvl w:val="0"/>
                <w:numId w:val="0"/>
              </w:numPr>
              <w:spacing w:before="0" w:after="0" w:line="240" w:lineRule="auto"/>
              <w:rPr>
                <w:rFonts w:ascii="Arial" w:hAnsi="Arial" w:cs="Arial"/>
                <w:sz w:val="22"/>
                <w:szCs w:val="22"/>
              </w:rPr>
            </w:pPr>
            <w:r>
              <w:rPr>
                <w:rFonts w:ascii="Arial" w:hAnsi="Arial" w:cs="Arial"/>
                <w:sz w:val="22"/>
                <w:szCs w:val="22"/>
              </w:rPr>
              <w:t>Efficiency improvements</w:t>
            </w:r>
            <w:r w:rsidRPr="000F6717">
              <w:rPr>
                <w:rFonts w:ascii="Arial" w:hAnsi="Arial" w:cs="Arial"/>
                <w:sz w:val="22"/>
                <w:szCs w:val="22"/>
              </w:rPr>
              <w:t xml:space="preserve"> and </w:t>
            </w:r>
            <w:r>
              <w:rPr>
                <w:rFonts w:ascii="Arial" w:hAnsi="Arial" w:cs="Arial"/>
                <w:sz w:val="22"/>
                <w:szCs w:val="22"/>
              </w:rPr>
              <w:t xml:space="preserve">reducing </w:t>
            </w:r>
            <w:r w:rsidRPr="000F6717">
              <w:rPr>
                <w:rFonts w:ascii="Arial" w:hAnsi="Arial" w:cs="Arial"/>
                <w:sz w:val="22"/>
                <w:szCs w:val="22"/>
              </w:rPr>
              <w:t>conflicts between community and commercial activities within the region.</w:t>
            </w:r>
          </w:p>
        </w:tc>
      </w:tr>
      <w:tr w:rsidR="0092338D" w:rsidTr="00682077">
        <w:trPr>
          <w:trHeight w:val="1251"/>
        </w:trPr>
        <w:tc>
          <w:tcPr>
            <w:tcW w:w="3488" w:type="dxa"/>
          </w:tcPr>
          <w:p w:rsidR="0092338D" w:rsidRPr="000F6717" w:rsidRDefault="0092338D" w:rsidP="00682077">
            <w:pPr>
              <w:pStyle w:val="bodynumbered"/>
              <w:numPr>
                <w:ilvl w:val="0"/>
                <w:numId w:val="0"/>
              </w:numPr>
              <w:spacing w:before="0" w:after="0" w:line="240" w:lineRule="auto"/>
              <w:rPr>
                <w:rFonts w:ascii="Arial" w:hAnsi="Arial" w:cs="Arial"/>
                <w:sz w:val="22"/>
                <w:szCs w:val="22"/>
              </w:rPr>
            </w:pPr>
            <w:r w:rsidRPr="000F6717">
              <w:rPr>
                <w:rFonts w:ascii="Arial" w:hAnsi="Arial" w:cs="Arial"/>
                <w:sz w:val="22"/>
                <w:szCs w:val="22"/>
              </w:rPr>
              <w:t>Passing Opportunities</w:t>
            </w:r>
          </w:p>
        </w:tc>
        <w:tc>
          <w:tcPr>
            <w:tcW w:w="5581" w:type="dxa"/>
          </w:tcPr>
          <w:p w:rsidR="0092338D" w:rsidRPr="000F6717" w:rsidRDefault="0092338D" w:rsidP="00682077">
            <w:pPr>
              <w:pStyle w:val="bodynumbered"/>
              <w:numPr>
                <w:ilvl w:val="0"/>
                <w:numId w:val="0"/>
              </w:numPr>
              <w:spacing w:before="40" w:after="40"/>
              <w:rPr>
                <w:rFonts w:ascii="Arial" w:hAnsi="Arial" w:cs="Arial"/>
                <w:sz w:val="22"/>
                <w:szCs w:val="22"/>
              </w:rPr>
            </w:pPr>
            <w:r w:rsidRPr="000F6717">
              <w:rPr>
                <w:rFonts w:ascii="Arial" w:hAnsi="Arial" w:cs="Arial"/>
                <w:sz w:val="22"/>
                <w:szCs w:val="22"/>
              </w:rPr>
              <w:t>Passing opportunities:</w:t>
            </w:r>
          </w:p>
          <w:p w:rsidR="0092338D" w:rsidRDefault="0092338D" w:rsidP="00682077">
            <w:pPr>
              <w:pStyle w:val="bodynumbered"/>
              <w:numPr>
                <w:ilvl w:val="0"/>
                <w:numId w:val="0"/>
              </w:numPr>
              <w:spacing w:before="40" w:after="40"/>
              <w:rPr>
                <w:rFonts w:ascii="Arial" w:hAnsi="Arial" w:cs="Arial"/>
                <w:sz w:val="22"/>
                <w:szCs w:val="22"/>
              </w:rPr>
            </w:pPr>
            <w:r w:rsidRPr="000F6717">
              <w:rPr>
                <w:rFonts w:ascii="Arial" w:hAnsi="Arial" w:cs="Arial"/>
                <w:sz w:val="22"/>
                <w:szCs w:val="22"/>
              </w:rPr>
              <w:t xml:space="preserve">SH2 Gisborne to </w:t>
            </w:r>
            <w:proofErr w:type="spellStart"/>
            <w:r w:rsidRPr="000F6717">
              <w:rPr>
                <w:rFonts w:ascii="Arial" w:hAnsi="Arial" w:cs="Arial"/>
                <w:sz w:val="22"/>
                <w:szCs w:val="22"/>
              </w:rPr>
              <w:t>Opotiki</w:t>
            </w:r>
            <w:proofErr w:type="spellEnd"/>
            <w:r w:rsidRPr="000F6717">
              <w:rPr>
                <w:rFonts w:ascii="Arial" w:hAnsi="Arial" w:cs="Arial"/>
                <w:sz w:val="22"/>
                <w:szCs w:val="22"/>
              </w:rPr>
              <w:t xml:space="preserve"> </w:t>
            </w:r>
          </w:p>
          <w:p w:rsidR="0092338D" w:rsidRPr="000F6717" w:rsidRDefault="0092338D" w:rsidP="00682077">
            <w:pPr>
              <w:pStyle w:val="bodynumbered"/>
              <w:numPr>
                <w:ilvl w:val="0"/>
                <w:numId w:val="0"/>
              </w:numPr>
              <w:spacing w:before="40" w:after="40"/>
              <w:rPr>
                <w:rFonts w:ascii="Arial" w:hAnsi="Arial" w:cs="Arial"/>
                <w:sz w:val="22"/>
                <w:szCs w:val="22"/>
              </w:rPr>
            </w:pPr>
            <w:r w:rsidRPr="000F6717">
              <w:rPr>
                <w:rFonts w:ascii="Arial" w:hAnsi="Arial" w:cs="Arial"/>
                <w:sz w:val="22"/>
                <w:szCs w:val="22"/>
              </w:rPr>
              <w:t>SH2 Gisborne to Napier</w:t>
            </w:r>
          </w:p>
          <w:p w:rsidR="0092338D" w:rsidRPr="000F6717" w:rsidRDefault="0092338D" w:rsidP="00682077">
            <w:pPr>
              <w:pStyle w:val="bodynumbered"/>
              <w:numPr>
                <w:ilvl w:val="0"/>
                <w:numId w:val="0"/>
              </w:numPr>
              <w:spacing w:before="0" w:after="0" w:line="240" w:lineRule="auto"/>
              <w:rPr>
                <w:rFonts w:ascii="Arial" w:hAnsi="Arial" w:cs="Arial"/>
                <w:sz w:val="22"/>
                <w:szCs w:val="22"/>
              </w:rPr>
            </w:pPr>
            <w:r w:rsidRPr="000F6717">
              <w:rPr>
                <w:rFonts w:ascii="Arial" w:hAnsi="Arial" w:cs="Arial"/>
                <w:sz w:val="22"/>
                <w:szCs w:val="22"/>
              </w:rPr>
              <w:t>SH35</w:t>
            </w:r>
            <w:r>
              <w:rPr>
                <w:rFonts w:ascii="Arial" w:hAnsi="Arial" w:cs="Arial"/>
                <w:sz w:val="22"/>
                <w:szCs w:val="22"/>
              </w:rPr>
              <w:t>.</w:t>
            </w:r>
          </w:p>
        </w:tc>
      </w:tr>
      <w:tr w:rsidR="0092338D" w:rsidTr="00682077">
        <w:trPr>
          <w:trHeight w:val="566"/>
        </w:trPr>
        <w:tc>
          <w:tcPr>
            <w:tcW w:w="3488" w:type="dxa"/>
          </w:tcPr>
          <w:p w:rsidR="0092338D" w:rsidRPr="000F6717" w:rsidRDefault="0092338D" w:rsidP="00682077">
            <w:pPr>
              <w:pStyle w:val="bodynumbered"/>
              <w:numPr>
                <w:ilvl w:val="0"/>
                <w:numId w:val="0"/>
              </w:numPr>
              <w:spacing w:before="0" w:after="0" w:line="240" w:lineRule="auto"/>
              <w:rPr>
                <w:rFonts w:ascii="Arial" w:hAnsi="Arial" w:cs="Arial"/>
                <w:sz w:val="22"/>
                <w:szCs w:val="22"/>
              </w:rPr>
            </w:pPr>
            <w:r w:rsidRPr="000F6717">
              <w:rPr>
                <w:rFonts w:ascii="Arial" w:hAnsi="Arial" w:cs="Arial"/>
                <w:sz w:val="22"/>
                <w:szCs w:val="22"/>
              </w:rPr>
              <w:t>Route Security</w:t>
            </w:r>
            <w:r>
              <w:rPr>
                <w:rFonts w:ascii="Arial" w:hAnsi="Arial" w:cs="Arial"/>
                <w:sz w:val="22"/>
                <w:szCs w:val="22"/>
              </w:rPr>
              <w:t>:</w:t>
            </w:r>
            <w:r w:rsidRPr="000F6717">
              <w:rPr>
                <w:rFonts w:ascii="Arial" w:hAnsi="Arial" w:cs="Arial"/>
                <w:sz w:val="22"/>
                <w:szCs w:val="22"/>
              </w:rPr>
              <w:t xml:space="preserve"> State Highway 35</w:t>
            </w:r>
          </w:p>
          <w:p w:rsidR="0092338D" w:rsidRPr="000F6717" w:rsidRDefault="0092338D" w:rsidP="00682077">
            <w:pPr>
              <w:pStyle w:val="bodynumbered"/>
              <w:numPr>
                <w:ilvl w:val="0"/>
                <w:numId w:val="0"/>
              </w:numPr>
              <w:spacing w:before="0" w:after="0" w:line="240" w:lineRule="auto"/>
              <w:rPr>
                <w:rFonts w:ascii="Arial" w:hAnsi="Arial" w:cs="Arial"/>
                <w:sz w:val="22"/>
                <w:szCs w:val="22"/>
              </w:rPr>
            </w:pPr>
          </w:p>
        </w:tc>
        <w:tc>
          <w:tcPr>
            <w:tcW w:w="5581" w:type="dxa"/>
          </w:tcPr>
          <w:p w:rsidR="0092338D" w:rsidRPr="000F6717" w:rsidRDefault="0092338D" w:rsidP="00682077">
            <w:pPr>
              <w:pStyle w:val="bodynumbered"/>
              <w:numPr>
                <w:ilvl w:val="0"/>
                <w:numId w:val="0"/>
              </w:numPr>
              <w:spacing w:before="0" w:after="0" w:line="240" w:lineRule="auto"/>
              <w:rPr>
                <w:rFonts w:ascii="Arial" w:hAnsi="Arial" w:cs="Arial"/>
                <w:sz w:val="22"/>
                <w:szCs w:val="22"/>
              </w:rPr>
            </w:pPr>
            <w:r w:rsidRPr="000F6717">
              <w:rPr>
                <w:rFonts w:ascii="Arial" w:hAnsi="Arial" w:cs="Arial"/>
                <w:sz w:val="22"/>
                <w:szCs w:val="22"/>
              </w:rPr>
              <w:t>Resilience improvements targeted at route security and network availability issues on SH35.</w:t>
            </w:r>
          </w:p>
        </w:tc>
      </w:tr>
      <w:tr w:rsidR="0092338D" w:rsidTr="00682077">
        <w:trPr>
          <w:trHeight w:val="144"/>
        </w:trPr>
        <w:tc>
          <w:tcPr>
            <w:tcW w:w="3488" w:type="dxa"/>
          </w:tcPr>
          <w:p w:rsidR="0092338D" w:rsidRPr="000F6717" w:rsidRDefault="0092338D" w:rsidP="00682077">
            <w:pPr>
              <w:pStyle w:val="bodynumbered"/>
              <w:numPr>
                <w:ilvl w:val="0"/>
                <w:numId w:val="0"/>
              </w:numPr>
              <w:spacing w:before="0" w:after="0" w:line="240" w:lineRule="auto"/>
              <w:rPr>
                <w:rFonts w:ascii="Arial" w:hAnsi="Arial" w:cs="Arial"/>
                <w:sz w:val="22"/>
                <w:szCs w:val="22"/>
              </w:rPr>
            </w:pPr>
            <w:r w:rsidRPr="000F6717">
              <w:rPr>
                <w:rFonts w:ascii="Arial" w:hAnsi="Arial" w:cs="Arial"/>
                <w:sz w:val="22"/>
                <w:szCs w:val="22"/>
              </w:rPr>
              <w:t>Route Security: East Cape.</w:t>
            </w:r>
          </w:p>
        </w:tc>
        <w:tc>
          <w:tcPr>
            <w:tcW w:w="5581" w:type="dxa"/>
          </w:tcPr>
          <w:p w:rsidR="0092338D" w:rsidRPr="000F6717" w:rsidRDefault="0092338D" w:rsidP="00682077">
            <w:pPr>
              <w:pStyle w:val="bodynumbered"/>
              <w:numPr>
                <w:ilvl w:val="0"/>
                <w:numId w:val="0"/>
              </w:numPr>
              <w:spacing w:before="0" w:after="0" w:line="240" w:lineRule="auto"/>
              <w:rPr>
                <w:rFonts w:ascii="Arial" w:hAnsi="Arial" w:cs="Arial"/>
                <w:sz w:val="22"/>
                <w:szCs w:val="22"/>
              </w:rPr>
            </w:pPr>
            <w:r w:rsidRPr="000F6717">
              <w:rPr>
                <w:rFonts w:ascii="Arial" w:hAnsi="Arial" w:cs="Arial"/>
                <w:sz w:val="22"/>
                <w:szCs w:val="22"/>
              </w:rPr>
              <w:t>Resilience improvements targeted at route security and network availability issues on East Cape Road (local road) which delivers improved access to isolated communities and enhanced tourism opportunity.</w:t>
            </w:r>
          </w:p>
        </w:tc>
      </w:tr>
      <w:tr w:rsidR="0092338D" w:rsidTr="00682077">
        <w:trPr>
          <w:trHeight w:val="144"/>
        </w:trPr>
        <w:tc>
          <w:tcPr>
            <w:tcW w:w="3488" w:type="dxa"/>
          </w:tcPr>
          <w:p w:rsidR="0092338D" w:rsidRPr="000F6717" w:rsidRDefault="0092338D" w:rsidP="00682077">
            <w:pPr>
              <w:pStyle w:val="bodynumbered"/>
              <w:numPr>
                <w:ilvl w:val="0"/>
                <w:numId w:val="0"/>
              </w:numPr>
              <w:spacing w:before="0" w:after="0" w:line="240" w:lineRule="auto"/>
              <w:rPr>
                <w:rFonts w:ascii="Arial" w:hAnsi="Arial" w:cs="Arial"/>
                <w:sz w:val="22"/>
                <w:szCs w:val="22"/>
              </w:rPr>
            </w:pPr>
            <w:proofErr w:type="spellStart"/>
            <w:r w:rsidRPr="000F6717">
              <w:rPr>
                <w:rFonts w:ascii="Arial" w:hAnsi="Arial" w:cs="Arial"/>
                <w:sz w:val="22"/>
                <w:szCs w:val="22"/>
              </w:rPr>
              <w:t>Waikare</w:t>
            </w:r>
            <w:proofErr w:type="spellEnd"/>
            <w:r w:rsidRPr="000F6717">
              <w:rPr>
                <w:rFonts w:ascii="Arial" w:hAnsi="Arial" w:cs="Arial"/>
                <w:sz w:val="22"/>
                <w:szCs w:val="22"/>
              </w:rPr>
              <w:t xml:space="preserve"> Gorge</w:t>
            </w:r>
          </w:p>
        </w:tc>
        <w:tc>
          <w:tcPr>
            <w:tcW w:w="5581" w:type="dxa"/>
          </w:tcPr>
          <w:p w:rsidR="0092338D" w:rsidRPr="000F6717" w:rsidRDefault="0092338D" w:rsidP="00682077">
            <w:pPr>
              <w:pStyle w:val="bodynumbered"/>
              <w:numPr>
                <w:ilvl w:val="0"/>
                <w:numId w:val="0"/>
              </w:numPr>
              <w:spacing w:before="0" w:after="0" w:line="240" w:lineRule="auto"/>
              <w:rPr>
                <w:rFonts w:ascii="Arial" w:hAnsi="Arial" w:cs="Arial"/>
                <w:sz w:val="22"/>
                <w:szCs w:val="22"/>
              </w:rPr>
            </w:pPr>
            <w:r w:rsidRPr="000F6717">
              <w:rPr>
                <w:rFonts w:ascii="Arial" w:hAnsi="Arial" w:cs="Arial"/>
                <w:sz w:val="22"/>
                <w:szCs w:val="22"/>
              </w:rPr>
              <w:t>Realignment.</w:t>
            </w:r>
          </w:p>
        </w:tc>
      </w:tr>
    </w:tbl>
    <w:p w:rsidR="0092338D" w:rsidRDefault="0092338D" w:rsidP="0092338D">
      <w:pPr>
        <w:rPr>
          <w:rFonts w:ascii="Arial" w:hAnsi="Arial" w:cs="Arial"/>
        </w:rPr>
      </w:pPr>
    </w:p>
    <w:p w:rsidR="0092338D" w:rsidRDefault="0092338D" w:rsidP="009E5AF5">
      <w:pPr>
        <w:rPr>
          <w:rFonts w:ascii="Arial" w:hAnsi="Arial" w:cs="Arial"/>
          <w:b/>
        </w:rPr>
      </w:pPr>
    </w:p>
    <w:p w:rsidR="002D6E07" w:rsidRDefault="002D6E07"/>
    <w:sectPr w:rsidR="002D6E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81F01"/>
    <w:multiLevelType w:val="hybridMultilevel"/>
    <w:tmpl w:val="0CBCFD12"/>
    <w:lvl w:ilvl="0" w:tplc="AB22D6CA">
      <w:start w:val="1"/>
      <w:numFmt w:val="decimal"/>
      <w:pStyle w:val="numberedbody"/>
      <w:lvlText w:val="%1."/>
      <w:lvlJc w:val="left"/>
      <w:pPr>
        <w:ind w:left="360" w:hanging="360"/>
      </w:pPr>
      <w:rPr>
        <w:rFonts w:hint="default"/>
        <w:b w:val="0"/>
        <w:color w:val="auto"/>
      </w:rPr>
    </w:lvl>
    <w:lvl w:ilvl="1" w:tplc="1409000F">
      <w:start w:val="1"/>
      <w:numFmt w:val="decimal"/>
      <w:lvlText w:val="%2."/>
      <w:lvlJc w:val="left"/>
      <w:pPr>
        <w:ind w:left="1440" w:hanging="360"/>
      </w:pPr>
    </w:lvl>
    <w:lvl w:ilvl="2" w:tplc="14090001">
      <w:start w:val="1"/>
      <w:numFmt w:val="bullet"/>
      <w:lvlText w:val=""/>
      <w:lvlJc w:val="left"/>
      <w:pPr>
        <w:ind w:left="2160" w:hanging="180"/>
      </w:pPr>
      <w:rPr>
        <w:rFonts w:ascii="Symbol" w:hAnsi="Symbol" w:hint="default"/>
      </w:r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3B1F6511"/>
    <w:multiLevelType w:val="multilevel"/>
    <w:tmpl w:val="FBA228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5505287"/>
    <w:multiLevelType w:val="hybridMultilevel"/>
    <w:tmpl w:val="A6C2E7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47F70F9F"/>
    <w:multiLevelType w:val="hybridMultilevel"/>
    <w:tmpl w:val="3BC2D53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54A50E55"/>
    <w:multiLevelType w:val="multilevel"/>
    <w:tmpl w:val="F41A1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E673A61"/>
    <w:multiLevelType w:val="hybridMultilevel"/>
    <w:tmpl w:val="9A82E2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27B"/>
    <w:rsid w:val="0003188E"/>
    <w:rsid w:val="00036BB0"/>
    <w:rsid w:val="0004127B"/>
    <w:rsid w:val="00052838"/>
    <w:rsid w:val="000E4AC4"/>
    <w:rsid w:val="000F7E9E"/>
    <w:rsid w:val="0014689B"/>
    <w:rsid w:val="00184C4F"/>
    <w:rsid w:val="00192126"/>
    <w:rsid w:val="001C0067"/>
    <w:rsid w:val="00201051"/>
    <w:rsid w:val="00202BCE"/>
    <w:rsid w:val="0020786E"/>
    <w:rsid w:val="00221B7B"/>
    <w:rsid w:val="002266D7"/>
    <w:rsid w:val="0023599A"/>
    <w:rsid w:val="002445BB"/>
    <w:rsid w:val="00261E07"/>
    <w:rsid w:val="002D6E07"/>
    <w:rsid w:val="00324831"/>
    <w:rsid w:val="003929B8"/>
    <w:rsid w:val="003A0DA2"/>
    <w:rsid w:val="003D4B85"/>
    <w:rsid w:val="003E1CA3"/>
    <w:rsid w:val="00417A3A"/>
    <w:rsid w:val="004C0D1D"/>
    <w:rsid w:val="004E7AD0"/>
    <w:rsid w:val="004F7307"/>
    <w:rsid w:val="00505439"/>
    <w:rsid w:val="00523D74"/>
    <w:rsid w:val="005301B4"/>
    <w:rsid w:val="005664CA"/>
    <w:rsid w:val="005737CC"/>
    <w:rsid w:val="00592904"/>
    <w:rsid w:val="005B2CCD"/>
    <w:rsid w:val="005C41DE"/>
    <w:rsid w:val="005E2CE6"/>
    <w:rsid w:val="00643BE4"/>
    <w:rsid w:val="006F6530"/>
    <w:rsid w:val="00723C36"/>
    <w:rsid w:val="00733249"/>
    <w:rsid w:val="00742C93"/>
    <w:rsid w:val="007E11DC"/>
    <w:rsid w:val="00836D1F"/>
    <w:rsid w:val="00842E86"/>
    <w:rsid w:val="00866BCA"/>
    <w:rsid w:val="00887282"/>
    <w:rsid w:val="008C094B"/>
    <w:rsid w:val="008F2668"/>
    <w:rsid w:val="00915E05"/>
    <w:rsid w:val="00917D8B"/>
    <w:rsid w:val="0092338D"/>
    <w:rsid w:val="00930FB0"/>
    <w:rsid w:val="00960F59"/>
    <w:rsid w:val="00962544"/>
    <w:rsid w:val="009C398B"/>
    <w:rsid w:val="009E2B50"/>
    <w:rsid w:val="009E5AF5"/>
    <w:rsid w:val="00A312F6"/>
    <w:rsid w:val="00A51562"/>
    <w:rsid w:val="00A5679A"/>
    <w:rsid w:val="00A70717"/>
    <w:rsid w:val="00A71600"/>
    <w:rsid w:val="00AB7273"/>
    <w:rsid w:val="00AC0649"/>
    <w:rsid w:val="00AC567C"/>
    <w:rsid w:val="00AE08CA"/>
    <w:rsid w:val="00B31F75"/>
    <w:rsid w:val="00BF5CD4"/>
    <w:rsid w:val="00C26881"/>
    <w:rsid w:val="00C31226"/>
    <w:rsid w:val="00C77B76"/>
    <w:rsid w:val="00CB1985"/>
    <w:rsid w:val="00CD38C4"/>
    <w:rsid w:val="00CF1B39"/>
    <w:rsid w:val="00D00A84"/>
    <w:rsid w:val="00D0114E"/>
    <w:rsid w:val="00D0539E"/>
    <w:rsid w:val="00D605C2"/>
    <w:rsid w:val="00D70C12"/>
    <w:rsid w:val="00D734FC"/>
    <w:rsid w:val="00DD652E"/>
    <w:rsid w:val="00DF173A"/>
    <w:rsid w:val="00E65020"/>
    <w:rsid w:val="00E7016E"/>
    <w:rsid w:val="00E7705A"/>
    <w:rsid w:val="00EE72E5"/>
    <w:rsid w:val="00EF1285"/>
    <w:rsid w:val="00F13DBB"/>
    <w:rsid w:val="00F14107"/>
    <w:rsid w:val="00F1522E"/>
    <w:rsid w:val="00F2046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E44E32-8F75-4885-AF2A-A619E4065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27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127B"/>
    <w:rPr>
      <w:rFonts w:ascii="Tahoma" w:hAnsi="Tahoma" w:cs="Tahoma"/>
      <w:sz w:val="16"/>
      <w:szCs w:val="16"/>
    </w:rPr>
  </w:style>
  <w:style w:type="character" w:customStyle="1" w:styleId="BalloonTextChar">
    <w:name w:val="Balloon Text Char"/>
    <w:basedOn w:val="DefaultParagraphFont"/>
    <w:link w:val="BalloonText"/>
    <w:uiPriority w:val="99"/>
    <w:semiHidden/>
    <w:rsid w:val="0004127B"/>
    <w:rPr>
      <w:rFonts w:ascii="Tahoma" w:hAnsi="Tahoma" w:cs="Tahoma"/>
      <w:sz w:val="16"/>
      <w:szCs w:val="16"/>
    </w:rPr>
  </w:style>
  <w:style w:type="paragraph" w:styleId="ListParagraph">
    <w:name w:val="List Paragraph"/>
    <w:basedOn w:val="Normal"/>
    <w:uiPriority w:val="34"/>
    <w:qFormat/>
    <w:rsid w:val="00E7705A"/>
    <w:pPr>
      <w:ind w:left="720"/>
      <w:contextualSpacing/>
    </w:pPr>
  </w:style>
  <w:style w:type="table" w:styleId="TableGrid">
    <w:name w:val="Table Grid"/>
    <w:basedOn w:val="TableNormal"/>
    <w:uiPriority w:val="59"/>
    <w:rsid w:val="009E5AF5"/>
    <w:pPr>
      <w:spacing w:after="0" w:line="280" w:lineRule="exact"/>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body">
    <w:name w:val="numbered body"/>
    <w:basedOn w:val="Normal"/>
    <w:rsid w:val="009E5AF5"/>
    <w:pPr>
      <w:numPr>
        <w:numId w:val="5"/>
      </w:numPr>
      <w:suppressAutoHyphens/>
      <w:spacing w:before="120" w:after="120" w:line="280" w:lineRule="atLeast"/>
    </w:pPr>
    <w:rPr>
      <w:rFonts w:ascii="Verdana" w:eastAsia="Times New Roman" w:hAnsi="Verdana"/>
      <w:sz w:val="28"/>
      <w:szCs w:val="20"/>
      <w:lang w:eastAsia="en-GB"/>
    </w:rPr>
  </w:style>
  <w:style w:type="paragraph" w:customStyle="1" w:styleId="bodynumbered">
    <w:name w:val="body numbered"/>
    <w:basedOn w:val="numberedbody"/>
    <w:qFormat/>
    <w:rsid w:val="009E5A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660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518</Words>
  <Characters>2958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Ministry of Economic Development</Company>
  <LinksUpToDate>false</LinksUpToDate>
  <CharactersWithSpaces>3470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Yvette McKinley</dc:creator>
  <cp:lastModifiedBy>William Blackler</cp:lastModifiedBy>
  <cp:revision>2</cp:revision>
  <cp:lastPrinted>2018-09-05T02:11:00Z</cp:lastPrinted>
  <dcterms:created xsi:type="dcterms:W3CDTF">2018-09-07T00:49:00Z</dcterms:created>
  <dcterms:modified xsi:type="dcterms:W3CDTF">2018-09-07T00:49:00Z</dcterms:modified>
</cp:coreProperties>
</file>