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BF0C" w14:textId="77777777" w:rsidR="0054216B" w:rsidRPr="00D76618" w:rsidRDefault="0054216B" w:rsidP="0054216B">
      <w:pPr>
        <w:spacing w:line="276" w:lineRule="auto"/>
        <w:rPr>
          <w:rFonts w:ascii="Arial" w:hAnsi="Arial" w:cs="Arial"/>
          <w:b/>
          <w:bCs/>
        </w:rPr>
      </w:pPr>
      <w:r w:rsidRPr="00D76618">
        <w:rPr>
          <w:rFonts w:ascii="Arial" w:hAnsi="Arial" w:cs="Arial"/>
          <w:b/>
          <w:bCs/>
        </w:rPr>
        <w:t>Health package factsheet</w:t>
      </w:r>
    </w:p>
    <w:p w14:paraId="10440621" w14:textId="77777777" w:rsidR="0054216B" w:rsidRPr="00D76618" w:rsidRDefault="00BE105A" w:rsidP="00BE105A">
      <w:pPr>
        <w:tabs>
          <w:tab w:val="left" w:pos="1966"/>
        </w:tabs>
        <w:spacing w:line="276" w:lineRule="auto"/>
        <w:rPr>
          <w:rFonts w:ascii="Arial" w:hAnsi="Arial" w:cs="Arial"/>
          <w:bCs/>
        </w:rPr>
      </w:pPr>
      <w:r w:rsidRPr="00D76618">
        <w:rPr>
          <w:rFonts w:ascii="Arial" w:hAnsi="Arial" w:cs="Arial"/>
          <w:b/>
          <w:bCs/>
        </w:rPr>
        <w:tab/>
      </w:r>
    </w:p>
    <w:p w14:paraId="1CABE081" w14:textId="77777777" w:rsidR="0054216B" w:rsidRPr="00BD70F9" w:rsidRDefault="0054216B" w:rsidP="0054216B">
      <w:pPr>
        <w:spacing w:line="276" w:lineRule="auto"/>
        <w:rPr>
          <w:rFonts w:ascii="Arial" w:hAnsi="Arial" w:cs="Arial"/>
        </w:rPr>
      </w:pPr>
      <w:r w:rsidRPr="00D76618">
        <w:rPr>
          <w:rFonts w:ascii="Arial" w:hAnsi="Arial" w:cs="Arial"/>
          <w:b/>
          <w:bCs/>
        </w:rPr>
        <w:t xml:space="preserve">Overview: </w:t>
      </w:r>
      <w:r w:rsidRPr="00BD70F9">
        <w:rPr>
          <w:rFonts w:ascii="Arial" w:hAnsi="Arial" w:cs="Arial"/>
          <w:bCs/>
        </w:rPr>
        <w:t>This</w:t>
      </w:r>
      <w:r w:rsidRPr="00BD70F9">
        <w:rPr>
          <w:rFonts w:ascii="Arial" w:hAnsi="Arial" w:cs="Arial"/>
          <w:b/>
          <w:bCs/>
        </w:rPr>
        <w:t xml:space="preserve"> </w:t>
      </w:r>
      <w:r w:rsidR="00BE105A" w:rsidRPr="00BD70F9">
        <w:rPr>
          <w:rFonts w:ascii="Arial" w:hAnsi="Arial" w:cs="Arial"/>
          <w:bCs/>
        </w:rPr>
        <w:t>initial</w:t>
      </w:r>
      <w:r w:rsidR="00BE105A" w:rsidRPr="00BD70F9">
        <w:rPr>
          <w:rFonts w:ascii="Arial" w:hAnsi="Arial" w:cs="Arial"/>
          <w:b/>
          <w:bCs/>
        </w:rPr>
        <w:t xml:space="preserve"> </w:t>
      </w:r>
      <w:r w:rsidRPr="00BD70F9">
        <w:rPr>
          <w:rFonts w:ascii="Arial" w:hAnsi="Arial" w:cs="Arial"/>
        </w:rPr>
        <w:t>$500 million fund</w:t>
      </w:r>
      <w:r w:rsidR="00BE105A" w:rsidRPr="00BD70F9">
        <w:rPr>
          <w:rFonts w:ascii="Arial" w:hAnsi="Arial" w:cs="Arial"/>
        </w:rPr>
        <w:t xml:space="preserve"> is</w:t>
      </w:r>
      <w:r w:rsidRPr="00BD70F9">
        <w:rPr>
          <w:rFonts w:ascii="Arial" w:hAnsi="Arial" w:cs="Arial"/>
        </w:rPr>
        <w:t xml:space="preserve"> to strengthen our health services to fight and contain COVID-19. This package makes sure that health services are there for those who need them the most. </w:t>
      </w:r>
      <w:r w:rsidR="00BE105A" w:rsidRPr="00BD70F9">
        <w:rPr>
          <w:rFonts w:ascii="Arial" w:hAnsi="Arial" w:cs="Arial"/>
        </w:rPr>
        <w:t xml:space="preserve">This is just an initial investment, the Government will ensure the health sector has the support and resources it needs to fight and contain COVID-19. </w:t>
      </w:r>
    </w:p>
    <w:p w14:paraId="08D07767" w14:textId="77777777" w:rsidR="0054216B" w:rsidRPr="00BD70F9" w:rsidRDefault="0054216B" w:rsidP="0054216B">
      <w:pPr>
        <w:spacing w:line="276" w:lineRule="auto"/>
        <w:rPr>
          <w:rFonts w:ascii="Arial" w:hAnsi="Arial" w:cs="Arial"/>
          <w:b/>
          <w:bCs/>
        </w:rPr>
      </w:pPr>
    </w:p>
    <w:p w14:paraId="40816948" w14:textId="77777777" w:rsidR="0054216B" w:rsidRPr="00BD70F9" w:rsidRDefault="00B05709" w:rsidP="0054216B">
      <w:pPr>
        <w:spacing w:line="276" w:lineRule="auto"/>
        <w:rPr>
          <w:rFonts w:ascii="Arial" w:hAnsi="Arial" w:cs="Arial"/>
        </w:rPr>
      </w:pPr>
      <w:r w:rsidRPr="00BD70F9">
        <w:rPr>
          <w:rFonts w:ascii="Arial" w:hAnsi="Arial" w:cs="Arial"/>
        </w:rPr>
        <w:t>Approximately</w:t>
      </w:r>
      <w:r w:rsidR="0054216B" w:rsidRPr="00BD70F9">
        <w:rPr>
          <w:rFonts w:ascii="Arial" w:hAnsi="Arial" w:cs="Arial"/>
        </w:rPr>
        <w:t xml:space="preserve"> $23</w:t>
      </w:r>
      <w:r w:rsidRPr="00BD70F9">
        <w:rPr>
          <w:rFonts w:ascii="Arial" w:hAnsi="Arial" w:cs="Arial"/>
        </w:rPr>
        <w:t>5</w:t>
      </w:r>
      <w:r w:rsidR="0054216B" w:rsidRPr="00BD70F9">
        <w:rPr>
          <w:rFonts w:ascii="Arial" w:hAnsi="Arial" w:cs="Arial"/>
        </w:rPr>
        <w:t xml:space="preserve"> million of immediate funding includes:</w:t>
      </w:r>
    </w:p>
    <w:p w14:paraId="3FB0D835" w14:textId="77777777" w:rsidR="0054216B" w:rsidRPr="00D76618" w:rsidRDefault="0054216B" w:rsidP="0054216B">
      <w:pPr>
        <w:spacing w:line="276" w:lineRule="auto"/>
        <w:rPr>
          <w:rFonts w:ascii="Arial" w:hAnsi="Arial" w:cs="Arial"/>
        </w:rPr>
      </w:pPr>
    </w:p>
    <w:tbl>
      <w:tblPr>
        <w:tblW w:w="802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1362"/>
      </w:tblGrid>
      <w:tr w:rsidR="0054216B" w:rsidRPr="00D76618" w14:paraId="6D58F9BD" w14:textId="77777777" w:rsidTr="00D76618">
        <w:trPr>
          <w:trHeight w:val="288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360D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Initiative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97E5" w14:textId="77777777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$ million</w:t>
            </w:r>
          </w:p>
        </w:tc>
      </w:tr>
      <w:tr w:rsidR="0054216B" w:rsidRPr="00D76618" w14:paraId="415AF83F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C7CB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Existing unfunded costs incurred to date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5B3C" w14:textId="5C0D7339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216B" w:rsidRPr="00D76618" w14:paraId="41168837" w14:textId="77777777" w:rsidTr="00D76618">
        <w:trPr>
          <w:trHeight w:val="288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4EA5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 xml:space="preserve">Current committed costs against Public Health (isolation centre at </w:t>
            </w:r>
            <w:proofErr w:type="spellStart"/>
            <w:r w:rsidRPr="00D76618">
              <w:rPr>
                <w:rFonts w:ascii="Arial" w:hAnsi="Arial" w:cs="Arial"/>
              </w:rPr>
              <w:t>Whangaparāoa</w:t>
            </w:r>
            <w:proofErr w:type="spellEnd"/>
            <w:r w:rsidRPr="00D76618">
              <w:rPr>
                <w:rFonts w:ascii="Arial" w:hAnsi="Arial" w:cs="Arial"/>
              </w:rPr>
              <w:t xml:space="preserve"> etc)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EDE7" w14:textId="20F8E2BD" w:rsidR="0054216B" w:rsidRPr="00D76618" w:rsidRDefault="00B05709" w:rsidP="00B906CB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4216B" w:rsidRPr="00D76618" w14:paraId="2C9FE846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82E5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Scale up public communications and support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47A9" w14:textId="77777777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216B" w:rsidRPr="00D76618" w14:paraId="5A313995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A305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Public Health campaign across New Zealand including vulnerable groups via all media channels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A546" w14:textId="540EC31F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10</w:t>
            </w:r>
          </w:p>
        </w:tc>
      </w:tr>
      <w:tr w:rsidR="0054216B" w:rsidRPr="00D76618" w14:paraId="600B2534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EA16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 xml:space="preserve">Boosting the </w:t>
            </w:r>
            <w:proofErr w:type="spellStart"/>
            <w:r w:rsidRPr="00D76618">
              <w:rPr>
                <w:rFonts w:ascii="Arial" w:hAnsi="Arial" w:cs="Arial"/>
              </w:rPr>
              <w:t>Healthline</w:t>
            </w:r>
            <w:proofErr w:type="spellEnd"/>
            <w:r w:rsidRPr="00D76618">
              <w:rPr>
                <w:rFonts w:ascii="Arial" w:hAnsi="Arial" w:cs="Arial"/>
              </w:rPr>
              <w:t xml:space="preserve"> COVID-19 response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297A" w14:textId="737E7FA6" w:rsidR="0054216B" w:rsidRPr="00D76618" w:rsidRDefault="00B906C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4216B" w:rsidRPr="00D76618" w14:paraId="515108B6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2DB5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Continuity of care in the community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4F39" w14:textId="77777777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216B" w:rsidRPr="00D76618" w14:paraId="32860930" w14:textId="77777777" w:rsidTr="00D76618">
        <w:trPr>
          <w:trHeight w:val="63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0124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Potential additional Ministry costs being incurred to meet ongoing responsibilities as well as h</w:t>
            </w:r>
            <w:r w:rsidR="00295584">
              <w:rPr>
                <w:rFonts w:ascii="Arial" w:hAnsi="Arial" w:cs="Arial"/>
              </w:rPr>
              <w:t>ousing MCDEM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7F73" w14:textId="56F4005C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10</w:t>
            </w:r>
          </w:p>
        </w:tc>
      </w:tr>
      <w:tr w:rsidR="0054216B" w:rsidRPr="00D76618" w14:paraId="198F7656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48EF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Boosting Public Health capacity (including helping to support contact tracing efforts)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D224" w14:textId="69BEA967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40</w:t>
            </w:r>
          </w:p>
        </w:tc>
      </w:tr>
      <w:tr w:rsidR="0054216B" w:rsidRPr="00D76618" w14:paraId="24B5CDE8" w14:textId="77777777" w:rsidTr="00D76618">
        <w:trPr>
          <w:trHeight w:val="29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B911E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color w:val="222222"/>
              </w:rPr>
            </w:pPr>
            <w:r w:rsidRPr="00D76618">
              <w:rPr>
                <w:rFonts w:ascii="Arial" w:hAnsi="Arial" w:cs="Arial"/>
                <w:color w:val="222222"/>
              </w:rPr>
              <w:t>Strengthening workforce capability across DHB provided services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F780" w14:textId="5275C868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30</w:t>
            </w:r>
          </w:p>
        </w:tc>
      </w:tr>
      <w:tr w:rsidR="0054216B" w:rsidRPr="00D76618" w14:paraId="74133109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9000A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>Testing, and tracing cases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79C5" w14:textId="77777777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216B" w:rsidRPr="00D76618" w14:paraId="118901AC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D287F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Purchasing additional ventilated and non-ventilated ICU capacity (private and public)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5E49" w14:textId="0B961E84" w:rsidR="0054216B" w:rsidRPr="00D76618" w:rsidRDefault="00B05709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4216B" w:rsidRPr="00D76618" w14:paraId="6BDF0004" w14:textId="77777777" w:rsidTr="00D76618">
        <w:trPr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1CD5E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 xml:space="preserve">Enhanced general practice support and implementing regional responses including Community Based Assessment Centres (CBAC) resourcing, equipment and logistics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7D97" w14:textId="191D748A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50</w:t>
            </w:r>
          </w:p>
        </w:tc>
      </w:tr>
      <w:tr w:rsidR="0054216B" w:rsidRPr="00D76618" w14:paraId="75CF2AB8" w14:textId="77777777" w:rsidTr="00D76618">
        <w:trPr>
          <w:trHeight w:val="377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08473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 xml:space="preserve">Introduce a GP and Community Health clinical telehealth consultation service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84D" w14:textId="1A0C89A8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20</w:t>
            </w:r>
          </w:p>
        </w:tc>
      </w:tr>
      <w:tr w:rsidR="0054216B" w:rsidRPr="00D76618" w14:paraId="2DB87EE3" w14:textId="77777777" w:rsidTr="00D76618">
        <w:trPr>
          <w:trHeight w:val="40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6D280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Increasing ESR and other laboratory Covid-19 testing capacity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4381" w14:textId="6E09BC5C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5</w:t>
            </w:r>
          </w:p>
        </w:tc>
      </w:tr>
      <w:tr w:rsidR="0054216B" w:rsidRPr="00D76618" w14:paraId="5A77F5AA" w14:textId="77777777" w:rsidTr="00D76618">
        <w:trPr>
          <w:trHeight w:val="51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887D5" w14:textId="77777777" w:rsidR="0054216B" w:rsidRPr="00D76618" w:rsidRDefault="0054216B">
            <w:pPr>
              <w:spacing w:line="252" w:lineRule="auto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 xml:space="preserve">Boost the psychosocial response and recovery plan to mitigating the immediate and long-term psychosocial impact of COVID-19.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C728" w14:textId="068BF675" w:rsidR="0054216B" w:rsidRPr="00D76618" w:rsidRDefault="0054216B" w:rsidP="00B906C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76618">
              <w:rPr>
                <w:rFonts w:ascii="Arial" w:hAnsi="Arial" w:cs="Arial"/>
              </w:rPr>
              <w:t>15</w:t>
            </w:r>
          </w:p>
        </w:tc>
      </w:tr>
      <w:tr w:rsidR="0054216B" w:rsidRPr="00D76618" w14:paraId="359E08C5" w14:textId="77777777" w:rsidTr="00D76618">
        <w:trPr>
          <w:trHeight w:val="288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5412" w14:textId="77777777" w:rsidR="0054216B" w:rsidRPr="00D76618" w:rsidRDefault="0054216B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D76618">
              <w:rPr>
                <w:rFonts w:ascii="Arial" w:hAnsi="Arial" w:cs="Arial"/>
                <w:b/>
                <w:bCs/>
              </w:rPr>
              <w:t xml:space="preserve">Total estimated costs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242A" w14:textId="4CF2BD44" w:rsidR="0054216B" w:rsidRPr="00D76618" w:rsidRDefault="00B906CB" w:rsidP="00B906CB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D76618" w:rsidRPr="00D76618">
              <w:rPr>
                <w:rFonts w:ascii="Arial" w:hAnsi="Arial" w:cs="Arial"/>
                <w:b/>
                <w:bCs/>
              </w:rPr>
              <w:t>23</w:t>
            </w:r>
            <w:r w:rsidR="00B0570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</w:tr>
    </w:tbl>
    <w:p w14:paraId="0AC3392C" w14:textId="77777777" w:rsidR="0054216B" w:rsidRPr="00D76618" w:rsidRDefault="0054216B" w:rsidP="0054216B">
      <w:pPr>
        <w:spacing w:line="276" w:lineRule="auto"/>
        <w:rPr>
          <w:rFonts w:ascii="Arial" w:hAnsi="Arial" w:cs="Arial"/>
        </w:rPr>
      </w:pPr>
    </w:p>
    <w:p w14:paraId="7E750B06" w14:textId="77777777" w:rsidR="0054216B" w:rsidRPr="00D76618" w:rsidRDefault="0054216B" w:rsidP="0054216B">
      <w:pPr>
        <w:spacing w:line="276" w:lineRule="auto"/>
        <w:rPr>
          <w:rFonts w:ascii="Arial" w:hAnsi="Arial" w:cs="Arial"/>
        </w:rPr>
      </w:pPr>
    </w:p>
    <w:p w14:paraId="6B34CE4D" w14:textId="77777777" w:rsidR="00D76618" w:rsidRDefault="00D76618" w:rsidP="00D766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remaining funds are</w:t>
      </w:r>
      <w:r w:rsidR="0054216B" w:rsidRPr="00D76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earmarked for future</w:t>
      </w:r>
      <w:r w:rsidR="0054216B" w:rsidRPr="00D76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announcements as required, such as:</w:t>
      </w:r>
    </w:p>
    <w:p w14:paraId="63DB5A2E" w14:textId="77777777" w:rsidR="00D76618" w:rsidRPr="00D76618" w:rsidRDefault="00D76618" w:rsidP="00D76618">
      <w:pPr>
        <w:spacing w:line="276" w:lineRule="auto"/>
        <w:rPr>
          <w:rFonts w:ascii="Arial" w:hAnsi="Arial" w:cs="Arial"/>
        </w:rPr>
      </w:pPr>
    </w:p>
    <w:tbl>
      <w:tblPr>
        <w:tblW w:w="8101" w:type="dxa"/>
        <w:tblInd w:w="820" w:type="dxa"/>
        <w:tblLayout w:type="fixed"/>
        <w:tblLook w:val="0400" w:firstRow="0" w:lastRow="0" w:firstColumn="0" w:lastColumn="0" w:noHBand="0" w:noVBand="1"/>
      </w:tblPr>
      <w:tblGrid>
        <w:gridCol w:w="6729"/>
        <w:gridCol w:w="1372"/>
      </w:tblGrid>
      <w:tr w:rsidR="00D76618" w:rsidRPr="00D76618" w14:paraId="741D9E4C" w14:textId="77777777" w:rsidTr="00FE3B36">
        <w:trPr>
          <w:trHeight w:val="635"/>
        </w:trPr>
        <w:tc>
          <w:tcPr>
            <w:tcW w:w="6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F7A70" w14:textId="77777777" w:rsidR="00D76618" w:rsidRPr="00D76618" w:rsidRDefault="00D76618" w:rsidP="00FE3B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911D2" w14:textId="77777777" w:rsidR="00D76618" w:rsidRPr="00A05D5E" w:rsidRDefault="00D76618" w:rsidP="00B906CB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A05D5E">
              <w:rPr>
                <w:rFonts w:ascii="Arial" w:eastAsia="Times New Roman" w:hAnsi="Arial" w:cs="Arial"/>
                <w:b/>
              </w:rPr>
              <w:t>$m</w:t>
            </w:r>
            <w:bookmarkEnd w:id="0"/>
          </w:p>
        </w:tc>
      </w:tr>
      <w:tr w:rsidR="00D76618" w:rsidRPr="00D76618" w14:paraId="564D9356" w14:textId="77777777" w:rsidTr="00FE3B36">
        <w:trPr>
          <w:trHeight w:val="635"/>
        </w:trPr>
        <w:tc>
          <w:tcPr>
            <w:tcW w:w="6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EB0DD" w14:textId="590F0D8D" w:rsidR="00D76618" w:rsidRPr="00D76618" w:rsidRDefault="00D76618" w:rsidP="00FE3B36">
            <w:pPr>
              <w:rPr>
                <w:rFonts w:ascii="Arial" w:eastAsia="Times New Roman" w:hAnsi="Arial" w:cs="Arial"/>
              </w:rPr>
            </w:pPr>
            <w:r w:rsidRPr="00D76618">
              <w:rPr>
                <w:rFonts w:ascii="Arial" w:eastAsia="Times New Roman" w:hAnsi="Arial" w:cs="Arial"/>
              </w:rPr>
              <w:t xml:space="preserve">Ensuring NZ has sufficient medicines, </w:t>
            </w:r>
            <w:r w:rsidR="009C078B" w:rsidRPr="009C078B">
              <w:rPr>
                <w:rFonts w:ascii="Arial" w:eastAsia="Times New Roman" w:hAnsi="Arial" w:cs="Arial"/>
              </w:rPr>
              <w:t xml:space="preserve">flu vaccines, </w:t>
            </w:r>
            <w:r w:rsidRPr="00D76618">
              <w:rPr>
                <w:rFonts w:ascii="Arial" w:eastAsia="Times New Roman" w:hAnsi="Arial" w:cs="Arial"/>
              </w:rPr>
              <w:t>facemasks</w:t>
            </w:r>
            <w:r w:rsidR="009C078B" w:rsidRPr="009C078B">
              <w:rPr>
                <w:rFonts w:ascii="Arial" w:eastAsia="Times New Roman" w:hAnsi="Arial" w:cs="Arial"/>
              </w:rPr>
              <w:t xml:space="preserve"> and personal protective equipment </w:t>
            </w:r>
            <w:r w:rsidR="009C078B">
              <w:rPr>
                <w:rFonts w:ascii="Arial" w:eastAsia="Times New Roman" w:hAnsi="Arial" w:cs="Arial"/>
              </w:rPr>
              <w:t>(</w:t>
            </w:r>
            <w:r w:rsidRPr="00D76618">
              <w:rPr>
                <w:rFonts w:ascii="Arial" w:eastAsia="Times New Roman" w:hAnsi="Arial" w:cs="Arial"/>
              </w:rPr>
              <w:t>P</w:t>
            </w:r>
            <w:r w:rsidR="009C078B">
              <w:rPr>
                <w:rFonts w:ascii="Arial" w:eastAsia="Times New Roman" w:hAnsi="Arial" w:cs="Arial"/>
              </w:rPr>
              <w:t>)</w:t>
            </w:r>
            <w:r w:rsidRPr="00D76618">
              <w:rPr>
                <w:rFonts w:ascii="Arial" w:eastAsia="Times New Roman" w:hAnsi="Arial" w:cs="Arial"/>
              </w:rPr>
              <w:t xml:space="preserve"> to allow people and critical health and disability staff protection – this is modelled on Australia’s costings and is largely driven by case definition (i.e. testing and need for PPE is linked to the definition for testing)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3CD72" w14:textId="1753AD1A" w:rsidR="00D76618" w:rsidRPr="00D76618" w:rsidRDefault="00D76618" w:rsidP="00B906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618">
              <w:rPr>
                <w:rFonts w:ascii="Arial" w:eastAsia="Times New Roman" w:hAnsi="Arial" w:cs="Arial"/>
              </w:rPr>
              <w:t>20</w:t>
            </w:r>
            <w:r w:rsidR="009C078B">
              <w:rPr>
                <w:rFonts w:ascii="Arial" w:eastAsia="Times New Roman" w:hAnsi="Arial" w:cs="Arial"/>
              </w:rPr>
              <w:t>5</w:t>
            </w:r>
          </w:p>
        </w:tc>
      </w:tr>
      <w:tr w:rsidR="00D76618" w:rsidRPr="00D76618" w14:paraId="3DAB0564" w14:textId="77777777" w:rsidTr="00FE3B36">
        <w:trPr>
          <w:trHeight w:val="635"/>
        </w:trPr>
        <w:tc>
          <w:tcPr>
            <w:tcW w:w="6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2D12" w14:textId="77777777" w:rsidR="00D76618" w:rsidRPr="00D76618" w:rsidRDefault="00D76618" w:rsidP="00FE3B36">
            <w:pPr>
              <w:rPr>
                <w:rFonts w:ascii="Arial" w:eastAsia="Times New Roman" w:hAnsi="Arial" w:cs="Arial"/>
              </w:rPr>
            </w:pPr>
            <w:r w:rsidRPr="00D76618">
              <w:rPr>
                <w:rFonts w:ascii="Arial" w:eastAsia="Times New Roman" w:hAnsi="Arial" w:cs="Arial"/>
              </w:rPr>
              <w:lastRenderedPageBreak/>
              <w:t>Enhanced primary care and community-based services including pharmacy, Aged Residential Care hospital beds, ambulance, supporting people staying at home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FFBC7" w14:textId="0024784B" w:rsidR="00D76618" w:rsidRPr="00D76618" w:rsidRDefault="00D76618" w:rsidP="00B906CB">
            <w:pPr>
              <w:jc w:val="center"/>
              <w:rPr>
                <w:rFonts w:ascii="Arial" w:eastAsia="Times New Roman" w:hAnsi="Arial" w:cs="Arial"/>
              </w:rPr>
            </w:pPr>
            <w:r w:rsidRPr="00D76618">
              <w:rPr>
                <w:rFonts w:ascii="Arial" w:eastAsia="Times New Roman" w:hAnsi="Arial" w:cs="Arial"/>
              </w:rPr>
              <w:t>50</w:t>
            </w:r>
          </w:p>
        </w:tc>
      </w:tr>
    </w:tbl>
    <w:p w14:paraId="0044DEC7" w14:textId="77777777" w:rsidR="0054216B" w:rsidRPr="00D76618" w:rsidRDefault="0054216B" w:rsidP="0054216B">
      <w:pPr>
        <w:spacing w:line="276" w:lineRule="auto"/>
        <w:rPr>
          <w:rFonts w:ascii="Arial" w:hAnsi="Arial" w:cs="Arial"/>
        </w:rPr>
      </w:pPr>
    </w:p>
    <w:p w14:paraId="6D232F83" w14:textId="77777777" w:rsidR="00BC3934" w:rsidRPr="00D76618" w:rsidRDefault="00D76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More information: </w:t>
      </w:r>
      <w:r w:rsidRPr="00D76618">
        <w:rPr>
          <w:rFonts w:ascii="Arial" w:hAnsi="Arial" w:cs="Arial"/>
        </w:rPr>
        <w:t xml:space="preserve">For more on the Health response to COVID-19, and for advice for the public please refer to the </w:t>
      </w:r>
      <w:hyperlink r:id="rId5" w:history="1">
        <w:r w:rsidRPr="00D76618">
          <w:rPr>
            <w:rStyle w:val="Hyperlink"/>
            <w:rFonts w:ascii="Arial" w:hAnsi="Arial" w:cs="Arial"/>
          </w:rPr>
          <w:t>Ministry of Health’s website</w:t>
        </w:r>
      </w:hyperlink>
      <w:r w:rsidRPr="00D76618">
        <w:rPr>
          <w:rFonts w:ascii="Arial" w:hAnsi="Arial" w:cs="Arial"/>
        </w:rPr>
        <w:t>.</w:t>
      </w:r>
    </w:p>
    <w:sectPr w:rsidR="00BC3934" w:rsidRPr="00D7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2AFC5" w16cid:durableId="221B1C25"/>
  <w16cid:commentId w16cid:paraId="087E1879" w16cid:durableId="221B1C26"/>
  <w16cid:commentId w16cid:paraId="687D8FD4" w16cid:durableId="221B1D8B"/>
  <w16cid:commentId w16cid:paraId="3403A8DC" w16cid:durableId="221B1D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C97"/>
    <w:multiLevelType w:val="multilevel"/>
    <w:tmpl w:val="21168D56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B"/>
    <w:rsid w:val="00295584"/>
    <w:rsid w:val="003C46D2"/>
    <w:rsid w:val="0054216B"/>
    <w:rsid w:val="005B6231"/>
    <w:rsid w:val="007C1877"/>
    <w:rsid w:val="008F7A32"/>
    <w:rsid w:val="009C078B"/>
    <w:rsid w:val="00A05D5E"/>
    <w:rsid w:val="00B05709"/>
    <w:rsid w:val="00B906CB"/>
    <w:rsid w:val="00BD70F9"/>
    <w:rsid w:val="00BE105A"/>
    <w:rsid w:val="00D73375"/>
    <w:rsid w:val="00D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A0BE"/>
  <w15:chartTrackingRefBased/>
  <w15:docId w15:val="{28623589-493D-491F-8145-5FEBBE6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D76618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D766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0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t.nz/our-work/diseases-and-conditions/covid-19-novel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Bramwell</dc:creator>
  <cp:keywords/>
  <dc:description/>
  <cp:lastModifiedBy>Chris Bramwell</cp:lastModifiedBy>
  <cp:revision>5</cp:revision>
  <cp:lastPrinted>2020-03-16T20:44:00Z</cp:lastPrinted>
  <dcterms:created xsi:type="dcterms:W3CDTF">2020-03-16T21:28:00Z</dcterms:created>
  <dcterms:modified xsi:type="dcterms:W3CDTF">2020-03-16T21:55:00Z</dcterms:modified>
</cp:coreProperties>
</file>